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color w:val="000000"/>
          <w:sz w:val="32"/>
        </w:rPr>
      </w:pPr>
    </w:p>
    <w:p>
      <w:pPr>
        <w:spacing w:line="600" w:lineRule="exact"/>
        <w:rPr>
          <w:rFonts w:ascii="方正仿宋_GBK" w:eastAsia="方正仿宋_GBK"/>
          <w:color w:val="000000"/>
          <w:sz w:val="32"/>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jc w:val="center"/>
        <w:rPr>
          <w:rFonts w:ascii="宋体" w:hAnsi="宋体"/>
          <w:b/>
          <w:color w:val="000000"/>
          <w:sz w:val="84"/>
          <w:szCs w:val="84"/>
        </w:rPr>
      </w:pPr>
      <w:r>
        <w:rPr>
          <w:rFonts w:hint="eastAsia" w:ascii="宋体" w:hAnsi="宋体"/>
          <w:b/>
          <w:color w:val="000000"/>
          <w:sz w:val="84"/>
          <w:szCs w:val="84"/>
        </w:rPr>
        <w:t>竞争性比选文件</w:t>
      </w:r>
    </w:p>
    <w:p>
      <w:pPr>
        <w:spacing w:line="700" w:lineRule="exact"/>
        <w:jc w:val="center"/>
        <w:rPr>
          <w:rFonts w:ascii="黑体" w:eastAsia="黑体"/>
          <w:color w:val="000000"/>
          <w:sz w:val="32"/>
        </w:rPr>
      </w:pPr>
    </w:p>
    <w:p>
      <w:pPr>
        <w:spacing w:line="700" w:lineRule="exact"/>
        <w:jc w:val="center"/>
        <w:rPr>
          <w:rFonts w:ascii="黑体" w:eastAsia="黑体"/>
          <w:color w:val="000000"/>
          <w:sz w:val="32"/>
        </w:rPr>
      </w:pPr>
    </w:p>
    <w:p>
      <w:pPr>
        <w:spacing w:line="700" w:lineRule="exact"/>
        <w:jc w:val="center"/>
        <w:rPr>
          <w:rFonts w:ascii="黑体" w:eastAsia="黑体"/>
          <w:color w:val="000000"/>
          <w:sz w:val="32"/>
        </w:rPr>
      </w:pPr>
    </w:p>
    <w:p>
      <w:pPr>
        <w:spacing w:line="480" w:lineRule="exact"/>
        <w:ind w:firstLine="563" w:firstLineChars="176"/>
        <w:outlineLvl w:val="0"/>
        <w:rPr>
          <w:rFonts w:ascii="宋体" w:hAnsi="宋体"/>
          <w:sz w:val="32"/>
          <w:szCs w:val="32"/>
        </w:rPr>
      </w:pPr>
    </w:p>
    <w:p>
      <w:pPr>
        <w:spacing w:line="480" w:lineRule="exact"/>
        <w:ind w:firstLine="563" w:firstLineChars="176"/>
        <w:outlineLvl w:val="0"/>
        <w:rPr>
          <w:rFonts w:ascii="宋体" w:hAnsi="宋体"/>
          <w:sz w:val="32"/>
          <w:szCs w:val="32"/>
        </w:rPr>
      </w:pPr>
      <w:bookmarkStart w:id="0" w:name="_Toc26564"/>
      <w:bookmarkStart w:id="1" w:name="_Toc15549"/>
      <w:bookmarkStart w:id="2" w:name="_Toc5811"/>
      <w:r>
        <w:rPr>
          <w:rFonts w:hint="eastAsia" w:ascii="宋体" w:hAnsi="宋体"/>
          <w:sz w:val="32"/>
          <w:szCs w:val="32"/>
        </w:rPr>
        <w:t>项 目 编 号: HJ-2021-C036</w:t>
      </w:r>
      <w:bookmarkEnd w:id="0"/>
      <w:bookmarkEnd w:id="1"/>
      <w:bookmarkEnd w:id="2"/>
    </w:p>
    <w:p>
      <w:pPr>
        <w:spacing w:line="480" w:lineRule="exact"/>
        <w:ind w:firstLine="563" w:firstLineChars="176"/>
        <w:outlineLvl w:val="0"/>
        <w:rPr>
          <w:rFonts w:ascii="宋体" w:hAnsi="宋体"/>
          <w:sz w:val="32"/>
          <w:szCs w:val="32"/>
        </w:rPr>
      </w:pPr>
    </w:p>
    <w:p>
      <w:pPr>
        <w:spacing w:line="480" w:lineRule="exact"/>
        <w:ind w:left="2691" w:leftChars="201" w:hanging="2128" w:hangingChars="665"/>
        <w:outlineLvl w:val="0"/>
        <w:rPr>
          <w:rFonts w:ascii="宋体" w:hAnsi="宋体"/>
          <w:color w:val="000000"/>
          <w:sz w:val="32"/>
          <w:szCs w:val="32"/>
        </w:rPr>
      </w:pPr>
      <w:bookmarkStart w:id="3" w:name="_Toc20346"/>
      <w:bookmarkStart w:id="4" w:name="_Toc1886"/>
      <w:bookmarkStart w:id="5" w:name="_Toc4019"/>
      <w:r>
        <w:rPr>
          <w:rFonts w:hint="eastAsia" w:ascii="宋体" w:hAnsi="宋体"/>
          <w:color w:val="000000"/>
          <w:sz w:val="32"/>
          <w:szCs w:val="32"/>
        </w:rPr>
        <w:t>项 目 名 称：</w:t>
      </w:r>
      <w:bookmarkEnd w:id="3"/>
      <w:bookmarkEnd w:id="4"/>
      <w:r>
        <w:rPr>
          <w:rFonts w:hint="eastAsia" w:ascii="宋体" w:hAnsi="宋体"/>
          <w:color w:val="000000"/>
          <w:sz w:val="32"/>
          <w:szCs w:val="32"/>
        </w:rPr>
        <w:t>重庆市统计大数据平台建设项目可行性研究及概算方案编制（代初步设计）</w:t>
      </w:r>
      <w:bookmarkEnd w:id="5"/>
    </w:p>
    <w:p>
      <w:pPr>
        <w:spacing w:line="480" w:lineRule="exact"/>
        <w:ind w:left="2691" w:leftChars="201" w:hanging="2128" w:hangingChars="665"/>
        <w:outlineLvl w:val="0"/>
        <w:rPr>
          <w:rFonts w:ascii="宋体" w:hAnsi="宋体"/>
          <w:color w:val="000000"/>
          <w:sz w:val="32"/>
          <w:szCs w:val="32"/>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592" w:firstLineChars="531"/>
        <w:outlineLvl w:val="0"/>
        <w:rPr>
          <w:rFonts w:ascii="宋体" w:hAnsi="宋体"/>
          <w:color w:val="000000"/>
          <w:sz w:val="30"/>
          <w:szCs w:val="30"/>
        </w:rPr>
      </w:pPr>
    </w:p>
    <w:p>
      <w:pPr>
        <w:tabs>
          <w:tab w:val="left" w:pos="3390"/>
        </w:tabs>
        <w:spacing w:line="480" w:lineRule="exact"/>
        <w:ind w:firstLine="1592" w:firstLineChars="531"/>
        <w:jc w:val="left"/>
        <w:outlineLvl w:val="0"/>
        <w:rPr>
          <w:rFonts w:ascii="宋体" w:hAnsi="宋体"/>
          <w:color w:val="000000"/>
          <w:sz w:val="30"/>
          <w:szCs w:val="30"/>
        </w:rPr>
      </w:pPr>
      <w:bookmarkStart w:id="6" w:name="_Toc23733"/>
      <w:bookmarkStart w:id="7" w:name="_Toc9828"/>
      <w:bookmarkStart w:id="8" w:name="_Toc5234"/>
      <w:r>
        <w:rPr>
          <w:rFonts w:hint="eastAsia" w:ascii="宋体" w:hAnsi="宋体"/>
          <w:color w:val="000000"/>
          <w:sz w:val="30"/>
          <w:szCs w:val="30"/>
        </w:rPr>
        <w:t>比   选   人：重庆市统计局</w:t>
      </w:r>
      <w:bookmarkEnd w:id="6"/>
      <w:bookmarkEnd w:id="7"/>
      <w:bookmarkEnd w:id="8"/>
    </w:p>
    <w:p>
      <w:pPr>
        <w:spacing w:line="480" w:lineRule="exact"/>
        <w:ind w:firstLine="1592" w:firstLineChars="531"/>
        <w:outlineLvl w:val="0"/>
        <w:rPr>
          <w:rFonts w:ascii="宋体" w:hAnsi="宋体"/>
          <w:color w:val="000000"/>
          <w:sz w:val="30"/>
          <w:szCs w:val="30"/>
        </w:rPr>
      </w:pPr>
      <w:bookmarkStart w:id="9" w:name="_Toc13632"/>
      <w:bookmarkStart w:id="10" w:name="_Toc24526"/>
      <w:bookmarkStart w:id="11" w:name="_Toc15622"/>
      <w:r>
        <w:rPr>
          <w:rFonts w:hint="eastAsia" w:ascii="宋体" w:hAnsi="宋体"/>
          <w:color w:val="000000"/>
          <w:sz w:val="30"/>
          <w:szCs w:val="30"/>
        </w:rPr>
        <w:t>比选代理机构：瀚景项目管理有限公司重庆分公司</w:t>
      </w:r>
      <w:bookmarkEnd w:id="9"/>
      <w:bookmarkEnd w:id="10"/>
      <w:bookmarkEnd w:id="11"/>
    </w:p>
    <w:p>
      <w:pPr>
        <w:spacing w:line="720" w:lineRule="exact"/>
        <w:jc w:val="center"/>
        <w:outlineLvl w:val="0"/>
        <w:rPr>
          <w:rFonts w:ascii="宋体" w:hAnsi="宋体"/>
          <w:color w:val="000000"/>
          <w:sz w:val="30"/>
          <w:szCs w:val="30"/>
        </w:rPr>
      </w:pPr>
    </w:p>
    <w:p>
      <w:pPr>
        <w:spacing w:line="720" w:lineRule="exact"/>
        <w:jc w:val="center"/>
        <w:outlineLvl w:val="0"/>
        <w:rPr>
          <w:rFonts w:ascii="方正黑体_GBK" w:hAnsi="宋体" w:eastAsia="方正黑体_GBK"/>
          <w:color w:val="000000"/>
          <w:sz w:val="30"/>
          <w:szCs w:val="30"/>
        </w:rPr>
      </w:pPr>
      <w:bookmarkStart w:id="12" w:name="_Toc27875"/>
      <w:bookmarkStart w:id="13" w:name="_Toc3248"/>
      <w:bookmarkStart w:id="14" w:name="_Toc7840"/>
      <w:r>
        <w:rPr>
          <w:rFonts w:hint="eastAsia" w:ascii="方正黑体_GBK" w:hAnsi="宋体" w:eastAsia="方正黑体_GBK"/>
          <w:color w:val="000000"/>
          <w:sz w:val="30"/>
          <w:szCs w:val="30"/>
        </w:rPr>
        <w:t>二〇二一年五月</w:t>
      </w:r>
      <w:bookmarkEnd w:id="12"/>
      <w:bookmarkEnd w:id="13"/>
      <w:bookmarkEnd w:id="14"/>
    </w:p>
    <w:p>
      <w:pPr>
        <w:spacing w:line="720" w:lineRule="exact"/>
        <w:jc w:val="center"/>
        <w:outlineLvl w:val="0"/>
        <w:rPr>
          <w:rFonts w:ascii="方正黑体_GBK" w:hAnsi="宋体" w:eastAsia="方正黑体_GBK"/>
          <w:color w:val="000000"/>
          <w:sz w:val="30"/>
          <w:szCs w:val="30"/>
        </w:rPr>
        <w:sectPr>
          <w:headerReference r:id="rId4" w:type="first"/>
          <w:headerReference r:id="rId3" w:type="default"/>
          <w:footerReference r:id="rId5" w:type="default"/>
          <w:pgSz w:w="11907" w:h="16840"/>
          <w:pgMar w:top="1134" w:right="1418" w:bottom="1134" w:left="1418" w:header="851" w:footer="992" w:gutter="0"/>
          <w:pgNumType w:start="1"/>
          <w:cols w:space="720" w:num="1"/>
          <w:titlePg/>
          <w:docGrid w:linePitch="381" w:charSpace="-5735"/>
        </w:sectPr>
      </w:pPr>
    </w:p>
    <w:p>
      <w:pPr>
        <w:pStyle w:val="2"/>
      </w:pPr>
    </w:p>
    <w:p>
      <w:pPr>
        <w:spacing w:line="480" w:lineRule="exact"/>
        <w:jc w:val="center"/>
        <w:outlineLvl w:val="0"/>
        <w:rPr>
          <w:rFonts w:ascii="方正小标宋_GBK" w:eastAsia="方正小标宋_GBK"/>
          <w:color w:val="000000"/>
          <w:sz w:val="36"/>
          <w:szCs w:val="36"/>
        </w:rPr>
      </w:pPr>
      <w:r>
        <w:rPr>
          <w:rFonts w:hint="eastAsia" w:ascii="方正小标宋_GBK" w:eastAsia="方正小标宋_GBK"/>
          <w:color w:val="000000"/>
          <w:sz w:val="36"/>
          <w:szCs w:val="36"/>
        </w:rPr>
        <w:t xml:space="preserve"> </w:t>
      </w:r>
      <w:bookmarkStart w:id="15" w:name="_Toc14322"/>
      <w:bookmarkStart w:id="16" w:name="_Toc12484"/>
      <w:bookmarkStart w:id="17" w:name="_Toc19588"/>
      <w:r>
        <w:rPr>
          <w:rFonts w:hint="eastAsia" w:ascii="方正小标宋_GBK" w:eastAsia="方正小标宋_GBK"/>
          <w:color w:val="000000"/>
          <w:sz w:val="36"/>
          <w:szCs w:val="36"/>
        </w:rPr>
        <w:t>目   录</w:t>
      </w:r>
      <w:bookmarkEnd w:id="15"/>
      <w:bookmarkEnd w:id="16"/>
      <w:bookmarkEnd w:id="17"/>
    </w:p>
    <w:sdt>
      <w:sdtPr>
        <w:rPr>
          <w:rFonts w:ascii="宋体" w:hAnsi="宋体"/>
          <w:sz w:val="21"/>
        </w:rPr>
        <w:id w:val="147474751"/>
        <w15:color w:val="DBDBDB"/>
      </w:sdtPr>
      <w:sdtEndPr>
        <w:rPr>
          <w:rFonts w:ascii="方正仿宋_GBK" w:hAnsi="Calibri" w:eastAsia="方正仿宋_GBK"/>
          <w:color w:val="000000"/>
          <w:sz w:val="28"/>
          <w:szCs w:val="21"/>
        </w:rPr>
      </w:sdtEndPr>
      <w:sdtContent>
        <w:p>
          <w:pPr>
            <w:pStyle w:val="41"/>
            <w:tabs>
              <w:tab w:val="right" w:leader="dot" w:pos="9071"/>
            </w:tabs>
            <w:spacing w:line="340" w:lineRule="exact"/>
            <w:jc w:val="both"/>
            <w:rPr>
              <w:rFonts w:ascii="方正仿宋_GBK" w:hAnsi="Calibri" w:eastAsia="方正仿宋_GBK"/>
              <w:color w:val="000000"/>
              <w:szCs w:val="21"/>
            </w:rPr>
          </w:pPr>
          <w:r>
            <w:rPr>
              <w:rFonts w:ascii="方正仿宋_GBK" w:hAnsi="Calibri" w:eastAsia="方正仿宋_GBK"/>
              <w:color w:val="000000"/>
              <w:sz w:val="21"/>
              <w:szCs w:val="21"/>
            </w:rPr>
            <w:fldChar w:fldCharType="begin"/>
          </w:r>
          <w:r>
            <w:rPr>
              <w:rFonts w:ascii="方正仿宋_GBK" w:hAnsi="Calibri" w:eastAsia="方正仿宋_GBK"/>
              <w:color w:val="000000"/>
              <w:sz w:val="21"/>
              <w:szCs w:val="21"/>
            </w:rPr>
            <w:instrText xml:space="preserve">TOC \o "1-3" \h \u </w:instrText>
          </w:r>
          <w:r>
            <w:rPr>
              <w:rFonts w:ascii="方正仿宋_GBK" w:hAnsi="Calibri" w:eastAsia="方正仿宋_GBK"/>
              <w:color w:val="000000"/>
              <w:sz w:val="21"/>
              <w:szCs w:val="21"/>
            </w:rPr>
            <w:fldChar w:fldCharType="separate"/>
          </w:r>
        </w:p>
        <w:p>
          <w:pPr>
            <w:pStyle w:val="50"/>
            <w:tabs>
              <w:tab w:val="right" w:leader="dot" w:pos="9071"/>
            </w:tabs>
            <w:ind w:left="0" w:leftChars="0" w:firstLine="652" w:firstLineChars="233"/>
            <w:rPr>
              <w:sz w:val="24"/>
              <w:szCs w:val="18"/>
            </w:rPr>
          </w:pPr>
          <w:r>
            <w:fldChar w:fldCharType="begin"/>
          </w:r>
          <w:r>
            <w:instrText xml:space="preserve"> HYPERLINK \l "_Toc10400" </w:instrText>
          </w:r>
          <w:r>
            <w:fldChar w:fldCharType="separate"/>
          </w:r>
          <w:r>
            <w:rPr>
              <w:rFonts w:hint="eastAsia" w:ascii="宋体" w:hAnsi="宋体"/>
              <w:sz w:val="24"/>
              <w:szCs w:val="32"/>
            </w:rPr>
            <w:t>第一篇  竞争性比选邀请书</w:t>
          </w:r>
          <w:r>
            <w:rPr>
              <w:sz w:val="24"/>
              <w:szCs w:val="18"/>
            </w:rPr>
            <w:tab/>
          </w:r>
          <w:r>
            <w:rPr>
              <w:sz w:val="24"/>
              <w:szCs w:val="18"/>
            </w:rPr>
            <w:fldChar w:fldCharType="begin"/>
          </w:r>
          <w:r>
            <w:rPr>
              <w:sz w:val="24"/>
              <w:szCs w:val="18"/>
            </w:rPr>
            <w:instrText xml:space="preserve"> PAGEREF _Toc10400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"_Toc31656" </w:instrText>
          </w:r>
          <w:r>
            <w:fldChar w:fldCharType="separate"/>
          </w:r>
          <w:r>
            <w:rPr>
              <w:rFonts w:hint="eastAsia" w:ascii="宋体" w:hAnsi="宋体"/>
              <w:sz w:val="24"/>
              <w:szCs w:val="24"/>
            </w:rPr>
            <w:t>一、竞争性比选内容</w:t>
          </w:r>
          <w:r>
            <w:rPr>
              <w:sz w:val="24"/>
              <w:szCs w:val="18"/>
            </w:rPr>
            <w:tab/>
          </w:r>
          <w:r>
            <w:rPr>
              <w:sz w:val="24"/>
              <w:szCs w:val="18"/>
            </w:rPr>
            <w:fldChar w:fldCharType="begin"/>
          </w:r>
          <w:r>
            <w:rPr>
              <w:sz w:val="24"/>
              <w:szCs w:val="18"/>
            </w:rPr>
            <w:instrText xml:space="preserve"> PAGEREF _Toc31656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"_Toc24072" </w:instrText>
          </w:r>
          <w:r>
            <w:fldChar w:fldCharType="separate"/>
          </w:r>
          <w:r>
            <w:rPr>
              <w:rFonts w:hint="eastAsia" w:ascii="宋体" w:hAnsi="宋体"/>
              <w:sz w:val="24"/>
              <w:szCs w:val="24"/>
            </w:rPr>
            <w:t>二、资金来源</w:t>
          </w:r>
          <w:r>
            <w:rPr>
              <w:sz w:val="24"/>
              <w:szCs w:val="18"/>
            </w:rPr>
            <w:tab/>
          </w:r>
          <w:r>
            <w:rPr>
              <w:sz w:val="24"/>
              <w:szCs w:val="18"/>
            </w:rPr>
            <w:fldChar w:fldCharType="begin"/>
          </w:r>
          <w:r>
            <w:rPr>
              <w:sz w:val="24"/>
              <w:szCs w:val="18"/>
            </w:rPr>
            <w:instrText xml:space="preserve"> PAGEREF _Toc24072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"_Toc1137" </w:instrText>
          </w:r>
          <w:r>
            <w:fldChar w:fldCharType="separate"/>
          </w:r>
          <w:r>
            <w:rPr>
              <w:rFonts w:hint="eastAsia" w:ascii="宋体" w:hAnsi="宋体"/>
              <w:sz w:val="24"/>
              <w:szCs w:val="24"/>
            </w:rPr>
            <w:t>三、竞选人</w:t>
          </w:r>
          <w:r>
            <w:rPr>
              <w:rFonts w:ascii="宋体" w:hAnsi="宋体"/>
              <w:sz w:val="24"/>
              <w:szCs w:val="24"/>
            </w:rPr>
            <w:t>的</w:t>
          </w:r>
          <w:r>
            <w:rPr>
              <w:rFonts w:hint="eastAsia" w:ascii="宋体" w:hAnsi="宋体"/>
              <w:sz w:val="24"/>
              <w:szCs w:val="24"/>
            </w:rPr>
            <w:t>资格条</w:t>
          </w:r>
          <w:r>
            <w:rPr>
              <w:rFonts w:ascii="宋体" w:hAnsi="宋体"/>
              <w:sz w:val="24"/>
              <w:szCs w:val="24"/>
            </w:rPr>
            <w:t>件</w:t>
          </w:r>
          <w:r>
            <w:rPr>
              <w:sz w:val="24"/>
              <w:szCs w:val="18"/>
            </w:rPr>
            <w:tab/>
          </w:r>
          <w:r>
            <w:rPr>
              <w:sz w:val="24"/>
              <w:szCs w:val="18"/>
            </w:rPr>
            <w:fldChar w:fldCharType="begin"/>
          </w:r>
          <w:r>
            <w:rPr>
              <w:sz w:val="24"/>
              <w:szCs w:val="18"/>
            </w:rPr>
            <w:instrText xml:space="preserve"> PAGEREF _Toc1137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"_Toc18631" </w:instrText>
          </w:r>
          <w:r>
            <w:fldChar w:fldCharType="separate"/>
          </w:r>
          <w:r>
            <w:rPr>
              <w:rFonts w:hint="eastAsia" w:ascii="宋体" w:hAnsi="宋体"/>
              <w:sz w:val="24"/>
              <w:szCs w:val="24"/>
            </w:rPr>
            <w:t>四、比选的有关说明</w:t>
          </w:r>
          <w:r>
            <w:rPr>
              <w:sz w:val="24"/>
              <w:szCs w:val="18"/>
            </w:rPr>
            <w:tab/>
          </w:r>
          <w:r>
            <w:rPr>
              <w:sz w:val="24"/>
              <w:szCs w:val="18"/>
            </w:rPr>
            <w:fldChar w:fldCharType="begin"/>
          </w:r>
          <w:r>
            <w:rPr>
              <w:sz w:val="24"/>
              <w:szCs w:val="18"/>
            </w:rPr>
            <w:instrText xml:space="preserve"> PAGEREF _Toc18631 \h </w:instrText>
          </w:r>
          <w:r>
            <w:rPr>
              <w:sz w:val="24"/>
              <w:szCs w:val="18"/>
            </w:rPr>
            <w:fldChar w:fldCharType="separate"/>
          </w:r>
          <w:r>
            <w:rPr>
              <w:sz w:val="24"/>
              <w:szCs w:val="18"/>
            </w:rPr>
            <w:t>2</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"_Toc13442" </w:instrText>
          </w:r>
          <w:r>
            <w:fldChar w:fldCharType="separate"/>
          </w:r>
          <w:r>
            <w:rPr>
              <w:rFonts w:hint="eastAsia" w:ascii="宋体" w:hAnsi="宋体"/>
              <w:sz w:val="24"/>
              <w:szCs w:val="24"/>
            </w:rPr>
            <w:t>五、保证金</w:t>
          </w:r>
          <w:r>
            <w:rPr>
              <w:sz w:val="24"/>
              <w:szCs w:val="18"/>
            </w:rPr>
            <w:tab/>
          </w:r>
          <w:r>
            <w:rPr>
              <w:sz w:val="24"/>
              <w:szCs w:val="18"/>
            </w:rPr>
            <w:fldChar w:fldCharType="begin"/>
          </w:r>
          <w:r>
            <w:rPr>
              <w:sz w:val="24"/>
              <w:szCs w:val="18"/>
            </w:rPr>
            <w:instrText xml:space="preserve"> PAGEREF _Toc13442 \h </w:instrText>
          </w:r>
          <w:r>
            <w:rPr>
              <w:sz w:val="24"/>
              <w:szCs w:val="18"/>
            </w:rPr>
            <w:fldChar w:fldCharType="separate"/>
          </w:r>
          <w:r>
            <w:rPr>
              <w:sz w:val="24"/>
              <w:szCs w:val="18"/>
            </w:rPr>
            <w:t>3</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"_Toc26827" </w:instrText>
          </w:r>
          <w:r>
            <w:fldChar w:fldCharType="separate"/>
          </w:r>
          <w:r>
            <w:rPr>
              <w:rFonts w:hint="eastAsia" w:ascii="宋体" w:hAnsi="宋体"/>
              <w:sz w:val="24"/>
              <w:szCs w:val="24"/>
            </w:rPr>
            <w:t>六、其它有关规定</w:t>
          </w:r>
          <w:r>
            <w:rPr>
              <w:sz w:val="24"/>
              <w:szCs w:val="18"/>
            </w:rPr>
            <w:tab/>
          </w:r>
          <w:r>
            <w:rPr>
              <w:sz w:val="24"/>
              <w:szCs w:val="18"/>
            </w:rPr>
            <w:fldChar w:fldCharType="begin"/>
          </w:r>
          <w:r>
            <w:rPr>
              <w:sz w:val="24"/>
              <w:szCs w:val="18"/>
            </w:rPr>
            <w:instrText xml:space="preserve"> PAGEREF _Toc26827 \h </w:instrText>
          </w:r>
          <w:r>
            <w:rPr>
              <w:sz w:val="24"/>
              <w:szCs w:val="18"/>
            </w:rPr>
            <w:fldChar w:fldCharType="separate"/>
          </w:r>
          <w:r>
            <w:rPr>
              <w:sz w:val="24"/>
              <w:szCs w:val="18"/>
            </w:rPr>
            <w:t>3</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"_Toc16500" </w:instrText>
          </w:r>
          <w:r>
            <w:fldChar w:fldCharType="separate"/>
          </w:r>
          <w:r>
            <w:rPr>
              <w:rFonts w:hint="eastAsia" w:ascii="宋体" w:hAnsi="宋体"/>
              <w:sz w:val="24"/>
              <w:szCs w:val="24"/>
            </w:rPr>
            <w:t>七、联系方式</w:t>
          </w:r>
          <w:r>
            <w:rPr>
              <w:sz w:val="24"/>
              <w:szCs w:val="18"/>
            </w:rPr>
            <w:tab/>
          </w:r>
          <w:r>
            <w:rPr>
              <w:sz w:val="24"/>
              <w:szCs w:val="18"/>
            </w:rPr>
            <w:fldChar w:fldCharType="begin"/>
          </w:r>
          <w:r>
            <w:rPr>
              <w:sz w:val="24"/>
              <w:szCs w:val="18"/>
            </w:rPr>
            <w:instrText xml:space="preserve"> PAGEREF _Toc16500 \h </w:instrText>
          </w:r>
          <w:r>
            <w:rPr>
              <w:sz w:val="24"/>
              <w:szCs w:val="18"/>
            </w:rPr>
            <w:fldChar w:fldCharType="separate"/>
          </w:r>
          <w:r>
            <w:rPr>
              <w:sz w:val="24"/>
              <w:szCs w:val="18"/>
            </w:rPr>
            <w:t>4</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"_Toc2850" </w:instrText>
          </w:r>
          <w:r>
            <w:fldChar w:fldCharType="separate"/>
          </w:r>
          <w:r>
            <w:rPr>
              <w:rFonts w:hint="eastAsia" w:ascii="宋体" w:hAnsi="宋体"/>
              <w:sz w:val="24"/>
              <w:szCs w:val="32"/>
            </w:rPr>
            <w:t>第二篇  项目服务需求</w:t>
          </w:r>
          <w:r>
            <w:rPr>
              <w:sz w:val="24"/>
              <w:szCs w:val="18"/>
            </w:rPr>
            <w:tab/>
          </w:r>
          <w:r>
            <w:rPr>
              <w:sz w:val="24"/>
              <w:szCs w:val="18"/>
            </w:rPr>
            <w:fldChar w:fldCharType="begin"/>
          </w:r>
          <w:r>
            <w:rPr>
              <w:sz w:val="24"/>
              <w:szCs w:val="18"/>
            </w:rPr>
            <w:instrText xml:space="preserve"> PAGEREF _Toc2850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"_Toc26762" </w:instrText>
          </w:r>
          <w:r>
            <w:fldChar w:fldCharType="separate"/>
          </w:r>
          <w:r>
            <w:rPr>
              <w:rFonts w:hint="eastAsia" w:ascii="宋体" w:hAnsi="宋体"/>
              <w:sz w:val="24"/>
              <w:szCs w:val="24"/>
            </w:rPr>
            <w:t>一、 项目一览表</w:t>
          </w:r>
          <w:r>
            <w:rPr>
              <w:sz w:val="24"/>
              <w:szCs w:val="18"/>
            </w:rPr>
            <w:tab/>
          </w:r>
          <w:r>
            <w:rPr>
              <w:sz w:val="24"/>
              <w:szCs w:val="18"/>
            </w:rPr>
            <w:fldChar w:fldCharType="begin"/>
          </w:r>
          <w:r>
            <w:rPr>
              <w:sz w:val="24"/>
              <w:szCs w:val="18"/>
            </w:rPr>
            <w:instrText xml:space="preserve"> PAGEREF _Toc26762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"_Toc16554" </w:instrText>
          </w:r>
          <w:r>
            <w:fldChar w:fldCharType="separate"/>
          </w:r>
          <w:r>
            <w:rPr>
              <w:rFonts w:hint="eastAsia" w:ascii="宋体" w:hAnsi="宋体"/>
              <w:sz w:val="24"/>
              <w:szCs w:val="24"/>
            </w:rPr>
            <w:t>二、项目需求</w:t>
          </w:r>
          <w:r>
            <w:rPr>
              <w:sz w:val="24"/>
              <w:szCs w:val="18"/>
            </w:rPr>
            <w:tab/>
          </w:r>
          <w:r>
            <w:rPr>
              <w:sz w:val="24"/>
              <w:szCs w:val="18"/>
            </w:rPr>
            <w:fldChar w:fldCharType="begin"/>
          </w:r>
          <w:r>
            <w:rPr>
              <w:sz w:val="24"/>
              <w:szCs w:val="18"/>
            </w:rPr>
            <w:instrText xml:space="preserve"> PAGEREF _Toc16554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"_Toc11569" </w:instrText>
          </w:r>
          <w:r>
            <w:fldChar w:fldCharType="separate"/>
          </w:r>
          <w:r>
            <w:rPr>
              <w:rFonts w:hint="eastAsia" w:ascii="宋体" w:hAnsi="宋体"/>
              <w:sz w:val="24"/>
              <w:szCs w:val="24"/>
            </w:rPr>
            <w:t>三、设计成果</w:t>
          </w:r>
          <w:r>
            <w:rPr>
              <w:rFonts w:ascii="宋体" w:hAnsi="宋体"/>
              <w:sz w:val="24"/>
              <w:szCs w:val="24"/>
            </w:rPr>
            <w:t>提交</w:t>
          </w:r>
          <w:r>
            <w:rPr>
              <w:rFonts w:hint="eastAsia" w:ascii="宋体" w:hAnsi="宋体"/>
              <w:sz w:val="24"/>
              <w:szCs w:val="24"/>
            </w:rPr>
            <w:t>要求</w:t>
          </w:r>
          <w:r>
            <w:rPr>
              <w:sz w:val="24"/>
              <w:szCs w:val="18"/>
            </w:rPr>
            <w:tab/>
          </w:r>
          <w:r>
            <w:rPr>
              <w:sz w:val="24"/>
              <w:szCs w:val="18"/>
            </w:rPr>
            <w:fldChar w:fldCharType="begin"/>
          </w:r>
          <w:r>
            <w:rPr>
              <w:sz w:val="24"/>
              <w:szCs w:val="18"/>
            </w:rPr>
            <w:instrText xml:space="preserve"> PAGEREF _Toc11569 \h </w:instrText>
          </w:r>
          <w:r>
            <w:rPr>
              <w:sz w:val="24"/>
              <w:szCs w:val="18"/>
            </w:rPr>
            <w:fldChar w:fldCharType="separate"/>
          </w:r>
          <w:r>
            <w:rPr>
              <w:sz w:val="24"/>
              <w:szCs w:val="18"/>
            </w:rPr>
            <w:t>7</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"_Toc30490" </w:instrText>
          </w:r>
          <w:r>
            <w:fldChar w:fldCharType="separate"/>
          </w:r>
          <w:r>
            <w:rPr>
              <w:rFonts w:hint="eastAsia"/>
              <w:sz w:val="24"/>
              <w:szCs w:val="18"/>
            </w:rPr>
            <w:t>第三篇  项目商务要求</w:t>
          </w:r>
          <w:r>
            <w:rPr>
              <w:sz w:val="24"/>
              <w:szCs w:val="18"/>
            </w:rPr>
            <w:tab/>
          </w:r>
          <w:r>
            <w:rPr>
              <w:sz w:val="24"/>
              <w:szCs w:val="18"/>
            </w:rPr>
            <w:fldChar w:fldCharType="begin"/>
          </w:r>
          <w:r>
            <w:rPr>
              <w:sz w:val="24"/>
              <w:szCs w:val="18"/>
            </w:rPr>
            <w:instrText xml:space="preserve"> PAGEREF _Toc30490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"_Toc24659" </w:instrText>
          </w:r>
          <w:r>
            <w:fldChar w:fldCharType="separate"/>
          </w:r>
          <w:r>
            <w:rPr>
              <w:rFonts w:hint="eastAsia"/>
              <w:bCs/>
              <w:sz w:val="24"/>
              <w:szCs w:val="24"/>
              <w:lang w:val="zh-CN"/>
            </w:rPr>
            <w:t>一、服务期、服务地点及验收方式</w:t>
          </w:r>
          <w:r>
            <w:rPr>
              <w:sz w:val="24"/>
              <w:szCs w:val="18"/>
            </w:rPr>
            <w:tab/>
          </w:r>
          <w:r>
            <w:rPr>
              <w:sz w:val="24"/>
              <w:szCs w:val="18"/>
            </w:rPr>
            <w:fldChar w:fldCharType="begin"/>
          </w:r>
          <w:r>
            <w:rPr>
              <w:sz w:val="24"/>
              <w:szCs w:val="18"/>
            </w:rPr>
            <w:instrText xml:space="preserve"> PAGEREF _Toc24659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"_Toc12155" </w:instrText>
          </w:r>
          <w:r>
            <w:fldChar w:fldCharType="separate"/>
          </w:r>
          <w:r>
            <w:rPr>
              <w:rFonts w:hint="eastAsia"/>
              <w:bCs/>
              <w:sz w:val="24"/>
              <w:szCs w:val="24"/>
              <w:lang w:val="zh-CN"/>
            </w:rPr>
            <w:t>二、报价要求</w:t>
          </w:r>
          <w:r>
            <w:rPr>
              <w:sz w:val="24"/>
              <w:szCs w:val="18"/>
            </w:rPr>
            <w:tab/>
          </w:r>
          <w:r>
            <w:rPr>
              <w:sz w:val="24"/>
              <w:szCs w:val="18"/>
            </w:rPr>
            <w:fldChar w:fldCharType="begin"/>
          </w:r>
          <w:r>
            <w:rPr>
              <w:sz w:val="24"/>
              <w:szCs w:val="18"/>
            </w:rPr>
            <w:instrText xml:space="preserve"> PAGEREF _Toc12155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"_Toc17017" </w:instrText>
          </w:r>
          <w:r>
            <w:fldChar w:fldCharType="separate"/>
          </w:r>
          <w:r>
            <w:rPr>
              <w:rFonts w:hint="eastAsia" w:ascii="宋体" w:hAnsi="宋体"/>
              <w:sz w:val="24"/>
              <w:szCs w:val="24"/>
            </w:rPr>
            <w:t>三、付款方式</w:t>
          </w:r>
          <w:r>
            <w:rPr>
              <w:sz w:val="24"/>
              <w:szCs w:val="18"/>
            </w:rPr>
            <w:tab/>
          </w:r>
          <w:r>
            <w:rPr>
              <w:sz w:val="24"/>
              <w:szCs w:val="18"/>
            </w:rPr>
            <w:fldChar w:fldCharType="begin"/>
          </w:r>
          <w:r>
            <w:rPr>
              <w:sz w:val="24"/>
              <w:szCs w:val="18"/>
            </w:rPr>
            <w:instrText xml:space="preserve"> PAGEREF _Toc17017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"_Toc25933" </w:instrText>
          </w:r>
          <w:r>
            <w:fldChar w:fldCharType="separate"/>
          </w:r>
          <w:r>
            <w:rPr>
              <w:rFonts w:hint="eastAsia"/>
              <w:sz w:val="24"/>
              <w:szCs w:val="24"/>
            </w:rPr>
            <w:t>四、知识产权</w:t>
          </w:r>
          <w:r>
            <w:rPr>
              <w:sz w:val="24"/>
              <w:szCs w:val="18"/>
            </w:rPr>
            <w:tab/>
          </w:r>
          <w:r>
            <w:rPr>
              <w:sz w:val="24"/>
              <w:szCs w:val="18"/>
            </w:rPr>
            <w:fldChar w:fldCharType="begin"/>
          </w:r>
          <w:r>
            <w:rPr>
              <w:sz w:val="24"/>
              <w:szCs w:val="18"/>
            </w:rPr>
            <w:instrText xml:space="preserve"> PAGEREF _Toc25933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"_Toc4564" </w:instrText>
          </w:r>
          <w:r>
            <w:fldChar w:fldCharType="separate"/>
          </w:r>
          <w:r>
            <w:rPr>
              <w:rFonts w:hint="eastAsia" w:ascii="宋体" w:hAnsi="宋体"/>
              <w:sz w:val="24"/>
              <w:szCs w:val="24"/>
            </w:rPr>
            <w:t>五、</w:t>
          </w:r>
          <w:r>
            <w:rPr>
              <w:rFonts w:hint="eastAsia"/>
              <w:sz w:val="24"/>
              <w:szCs w:val="24"/>
            </w:rPr>
            <w:t>其他</w:t>
          </w:r>
          <w:r>
            <w:rPr>
              <w:sz w:val="24"/>
              <w:szCs w:val="18"/>
            </w:rPr>
            <w:tab/>
          </w:r>
          <w:r>
            <w:rPr>
              <w:sz w:val="24"/>
              <w:szCs w:val="18"/>
            </w:rPr>
            <w:fldChar w:fldCharType="begin"/>
          </w:r>
          <w:r>
            <w:rPr>
              <w:sz w:val="24"/>
              <w:szCs w:val="18"/>
            </w:rPr>
            <w:instrText xml:space="preserve"> PAGEREF _Toc4564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"_Toc5097" </w:instrText>
          </w:r>
          <w:r>
            <w:fldChar w:fldCharType="separate"/>
          </w:r>
          <w:r>
            <w:rPr>
              <w:rFonts w:hint="eastAsia" w:ascii="宋体" w:hAnsi="宋体"/>
              <w:sz w:val="24"/>
              <w:szCs w:val="32"/>
            </w:rPr>
            <w:t>第四篇  比选程序及方法、评审标准等</w:t>
          </w:r>
          <w:r>
            <w:rPr>
              <w:sz w:val="24"/>
              <w:szCs w:val="18"/>
            </w:rPr>
            <w:tab/>
          </w:r>
          <w:r>
            <w:rPr>
              <w:sz w:val="24"/>
              <w:szCs w:val="18"/>
            </w:rPr>
            <w:fldChar w:fldCharType="begin"/>
          </w:r>
          <w:r>
            <w:rPr>
              <w:sz w:val="24"/>
              <w:szCs w:val="18"/>
            </w:rPr>
            <w:instrText xml:space="preserve"> PAGEREF _Toc5097 \h </w:instrText>
          </w:r>
          <w:r>
            <w:rPr>
              <w:sz w:val="24"/>
              <w:szCs w:val="18"/>
            </w:rPr>
            <w:fldChar w:fldCharType="separate"/>
          </w:r>
          <w:r>
            <w:rPr>
              <w:sz w:val="24"/>
              <w:szCs w:val="18"/>
            </w:rPr>
            <w:t>10</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"_Toc25243" </w:instrText>
          </w:r>
          <w:r>
            <w:fldChar w:fldCharType="separate"/>
          </w:r>
          <w:r>
            <w:rPr>
              <w:rFonts w:hint="eastAsia" w:ascii="宋体" w:hAnsi="宋体"/>
              <w:sz w:val="24"/>
              <w:szCs w:val="24"/>
            </w:rPr>
            <w:t>一、比选程序及方法</w:t>
          </w:r>
          <w:r>
            <w:rPr>
              <w:sz w:val="24"/>
              <w:szCs w:val="18"/>
            </w:rPr>
            <w:tab/>
          </w:r>
          <w:r>
            <w:rPr>
              <w:sz w:val="24"/>
              <w:szCs w:val="18"/>
            </w:rPr>
            <w:fldChar w:fldCharType="begin"/>
          </w:r>
          <w:r>
            <w:rPr>
              <w:sz w:val="24"/>
              <w:szCs w:val="18"/>
            </w:rPr>
            <w:instrText xml:space="preserve"> PAGEREF _Toc25243 \h </w:instrText>
          </w:r>
          <w:r>
            <w:rPr>
              <w:sz w:val="24"/>
              <w:szCs w:val="18"/>
            </w:rPr>
            <w:fldChar w:fldCharType="separate"/>
          </w:r>
          <w:r>
            <w:rPr>
              <w:sz w:val="24"/>
              <w:szCs w:val="18"/>
            </w:rPr>
            <w:t>10</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"_Toc29665" </w:instrText>
          </w:r>
          <w:r>
            <w:fldChar w:fldCharType="separate"/>
          </w:r>
          <w:r>
            <w:rPr>
              <w:rFonts w:hint="eastAsia" w:ascii="宋体" w:hAnsi="宋体"/>
              <w:sz w:val="24"/>
              <w:szCs w:val="24"/>
            </w:rPr>
            <w:t>二、评审标准</w:t>
          </w:r>
          <w:r>
            <w:rPr>
              <w:sz w:val="24"/>
              <w:szCs w:val="18"/>
            </w:rPr>
            <w:tab/>
          </w:r>
          <w:r>
            <w:rPr>
              <w:sz w:val="24"/>
              <w:szCs w:val="18"/>
            </w:rPr>
            <w:fldChar w:fldCharType="begin"/>
          </w:r>
          <w:r>
            <w:rPr>
              <w:sz w:val="24"/>
              <w:szCs w:val="18"/>
            </w:rPr>
            <w:instrText xml:space="preserve"> PAGEREF _Toc29665 \h </w:instrText>
          </w:r>
          <w:r>
            <w:rPr>
              <w:sz w:val="24"/>
              <w:szCs w:val="18"/>
            </w:rPr>
            <w:fldChar w:fldCharType="separate"/>
          </w:r>
          <w:r>
            <w:rPr>
              <w:sz w:val="24"/>
              <w:szCs w:val="18"/>
            </w:rPr>
            <w:t>12</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"_Toc4971" </w:instrText>
          </w:r>
          <w:r>
            <w:fldChar w:fldCharType="separate"/>
          </w:r>
          <w:r>
            <w:rPr>
              <w:rFonts w:hint="eastAsia" w:ascii="宋体" w:hAnsi="宋体"/>
              <w:sz w:val="24"/>
              <w:szCs w:val="24"/>
            </w:rPr>
            <w:t>三、无效响应</w:t>
          </w:r>
          <w:r>
            <w:rPr>
              <w:sz w:val="24"/>
              <w:szCs w:val="18"/>
            </w:rPr>
            <w:tab/>
          </w:r>
          <w:r>
            <w:rPr>
              <w:sz w:val="24"/>
              <w:szCs w:val="18"/>
            </w:rPr>
            <w:fldChar w:fldCharType="begin"/>
          </w:r>
          <w:r>
            <w:rPr>
              <w:sz w:val="24"/>
              <w:szCs w:val="18"/>
            </w:rPr>
            <w:instrText xml:space="preserve"> PAGEREF _Toc4971 \h </w:instrText>
          </w:r>
          <w:r>
            <w:rPr>
              <w:sz w:val="24"/>
              <w:szCs w:val="18"/>
            </w:rPr>
            <w:fldChar w:fldCharType="separate"/>
          </w:r>
          <w:r>
            <w:rPr>
              <w:sz w:val="24"/>
              <w:szCs w:val="18"/>
            </w:rPr>
            <w:t>14</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"_Toc6250" </w:instrText>
          </w:r>
          <w:r>
            <w:fldChar w:fldCharType="separate"/>
          </w:r>
          <w:r>
            <w:rPr>
              <w:rFonts w:hint="eastAsia" w:ascii="宋体" w:hAnsi="宋体"/>
              <w:sz w:val="24"/>
              <w:szCs w:val="32"/>
            </w:rPr>
            <w:t>第五篇  竞选人须知</w:t>
          </w:r>
          <w:r>
            <w:rPr>
              <w:sz w:val="24"/>
              <w:szCs w:val="18"/>
            </w:rPr>
            <w:tab/>
          </w:r>
          <w:r>
            <w:rPr>
              <w:sz w:val="24"/>
              <w:szCs w:val="18"/>
            </w:rPr>
            <w:fldChar w:fldCharType="begin"/>
          </w:r>
          <w:r>
            <w:rPr>
              <w:sz w:val="24"/>
              <w:szCs w:val="18"/>
            </w:rPr>
            <w:instrText xml:space="preserve"> PAGEREF _Toc6250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"_Toc1414" </w:instrText>
          </w:r>
          <w:r>
            <w:fldChar w:fldCharType="separate"/>
          </w:r>
          <w:r>
            <w:rPr>
              <w:rFonts w:hint="eastAsia" w:ascii="宋体" w:hAnsi="宋体"/>
              <w:sz w:val="24"/>
              <w:szCs w:val="24"/>
            </w:rPr>
            <w:t>一、比选竞选人</w:t>
          </w:r>
          <w:r>
            <w:rPr>
              <w:sz w:val="24"/>
              <w:szCs w:val="18"/>
            </w:rPr>
            <w:tab/>
          </w:r>
          <w:r>
            <w:rPr>
              <w:sz w:val="24"/>
              <w:szCs w:val="18"/>
            </w:rPr>
            <w:fldChar w:fldCharType="begin"/>
          </w:r>
          <w:r>
            <w:rPr>
              <w:sz w:val="24"/>
              <w:szCs w:val="18"/>
            </w:rPr>
            <w:instrText xml:space="preserve"> PAGEREF _Toc1414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"_Toc5400" </w:instrText>
          </w:r>
          <w:r>
            <w:fldChar w:fldCharType="separate"/>
          </w:r>
          <w:r>
            <w:rPr>
              <w:rFonts w:hint="eastAsia" w:ascii="宋体" w:hAnsi="宋体"/>
              <w:sz w:val="24"/>
              <w:szCs w:val="24"/>
            </w:rPr>
            <w:t>二、竞争性比选文件</w:t>
          </w:r>
          <w:r>
            <w:rPr>
              <w:sz w:val="24"/>
              <w:szCs w:val="18"/>
            </w:rPr>
            <w:tab/>
          </w:r>
          <w:r>
            <w:rPr>
              <w:sz w:val="24"/>
              <w:szCs w:val="18"/>
            </w:rPr>
            <w:fldChar w:fldCharType="begin"/>
          </w:r>
          <w:r>
            <w:rPr>
              <w:sz w:val="24"/>
              <w:szCs w:val="18"/>
            </w:rPr>
            <w:instrText xml:space="preserve"> PAGEREF _Toc5400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"_Toc16418" </w:instrText>
          </w:r>
          <w:r>
            <w:fldChar w:fldCharType="separate"/>
          </w:r>
          <w:r>
            <w:rPr>
              <w:rFonts w:hint="eastAsia" w:ascii="宋体" w:hAnsi="宋体"/>
              <w:sz w:val="24"/>
              <w:szCs w:val="24"/>
            </w:rPr>
            <w:t>三、比选要求</w:t>
          </w:r>
          <w:r>
            <w:rPr>
              <w:sz w:val="24"/>
              <w:szCs w:val="18"/>
            </w:rPr>
            <w:tab/>
          </w:r>
          <w:r>
            <w:rPr>
              <w:sz w:val="24"/>
              <w:szCs w:val="18"/>
            </w:rPr>
            <w:fldChar w:fldCharType="begin"/>
          </w:r>
          <w:r>
            <w:rPr>
              <w:sz w:val="24"/>
              <w:szCs w:val="18"/>
            </w:rPr>
            <w:instrText xml:space="preserve"> PAGEREF _Toc16418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"_Toc22130" </w:instrText>
          </w:r>
          <w:r>
            <w:fldChar w:fldCharType="separate"/>
          </w:r>
          <w:r>
            <w:rPr>
              <w:rFonts w:hint="eastAsia" w:ascii="宋体" w:hAnsi="宋体"/>
              <w:sz w:val="24"/>
              <w:szCs w:val="24"/>
            </w:rPr>
            <w:t>四、中选人的确认和变更</w:t>
          </w:r>
          <w:r>
            <w:rPr>
              <w:sz w:val="24"/>
              <w:szCs w:val="18"/>
            </w:rPr>
            <w:tab/>
          </w:r>
          <w:r>
            <w:rPr>
              <w:sz w:val="24"/>
              <w:szCs w:val="18"/>
            </w:rPr>
            <w:fldChar w:fldCharType="begin"/>
          </w:r>
          <w:r>
            <w:rPr>
              <w:sz w:val="24"/>
              <w:szCs w:val="18"/>
            </w:rPr>
            <w:instrText xml:space="preserve"> PAGEREF _Toc22130 \h </w:instrText>
          </w:r>
          <w:r>
            <w:rPr>
              <w:sz w:val="24"/>
              <w:szCs w:val="18"/>
            </w:rPr>
            <w:fldChar w:fldCharType="separate"/>
          </w:r>
          <w:r>
            <w:rPr>
              <w:sz w:val="24"/>
              <w:szCs w:val="18"/>
            </w:rPr>
            <w:t>18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"_Toc7981" </w:instrText>
          </w:r>
          <w:r>
            <w:fldChar w:fldCharType="separate"/>
          </w:r>
          <w:r>
            <w:rPr>
              <w:rFonts w:hint="eastAsia" w:ascii="宋体" w:hAnsi="宋体"/>
              <w:sz w:val="24"/>
              <w:szCs w:val="24"/>
            </w:rPr>
            <w:t>五、中选通知</w:t>
          </w:r>
          <w:r>
            <w:rPr>
              <w:sz w:val="24"/>
              <w:szCs w:val="18"/>
            </w:rPr>
            <w:tab/>
          </w:r>
          <w:r>
            <w:rPr>
              <w:sz w:val="24"/>
              <w:szCs w:val="18"/>
            </w:rPr>
            <w:fldChar w:fldCharType="begin"/>
          </w:r>
          <w:r>
            <w:rPr>
              <w:sz w:val="24"/>
              <w:szCs w:val="18"/>
            </w:rPr>
            <w:instrText xml:space="preserve"> PAGEREF _Toc7981 \h </w:instrText>
          </w:r>
          <w:r>
            <w:rPr>
              <w:sz w:val="24"/>
              <w:szCs w:val="18"/>
            </w:rPr>
            <w:fldChar w:fldCharType="separate"/>
          </w:r>
          <w:r>
            <w:rPr>
              <w:sz w:val="24"/>
              <w:szCs w:val="18"/>
            </w:rPr>
            <w:t>18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"_Toc27685" </w:instrText>
          </w:r>
          <w:r>
            <w:fldChar w:fldCharType="separate"/>
          </w:r>
          <w:r>
            <w:rPr>
              <w:rFonts w:hint="eastAsia" w:ascii="宋体" w:hAnsi="宋体"/>
              <w:sz w:val="24"/>
              <w:szCs w:val="24"/>
            </w:rPr>
            <w:t>六、关于质疑和投诉</w:t>
          </w:r>
          <w:r>
            <w:rPr>
              <w:sz w:val="24"/>
              <w:szCs w:val="18"/>
            </w:rPr>
            <w:tab/>
          </w:r>
          <w:r>
            <w:rPr>
              <w:sz w:val="24"/>
              <w:szCs w:val="18"/>
            </w:rPr>
            <w:fldChar w:fldCharType="begin"/>
          </w:r>
          <w:r>
            <w:rPr>
              <w:sz w:val="24"/>
              <w:szCs w:val="18"/>
            </w:rPr>
            <w:instrText xml:space="preserve"> PAGEREF _Toc27685 \h </w:instrText>
          </w:r>
          <w:r>
            <w:rPr>
              <w:sz w:val="24"/>
              <w:szCs w:val="18"/>
            </w:rPr>
            <w:fldChar w:fldCharType="separate"/>
          </w:r>
          <w:r>
            <w:rPr>
              <w:sz w:val="24"/>
              <w:szCs w:val="18"/>
            </w:rPr>
            <w:t>19</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"_Toc28976" </w:instrText>
          </w:r>
          <w:r>
            <w:fldChar w:fldCharType="separate"/>
          </w:r>
          <w:r>
            <w:rPr>
              <w:rFonts w:hint="eastAsia" w:ascii="宋体" w:hAnsi="宋体"/>
              <w:sz w:val="24"/>
              <w:szCs w:val="24"/>
            </w:rPr>
            <w:t>七、比选代理服务费</w:t>
          </w:r>
          <w:r>
            <w:rPr>
              <w:sz w:val="24"/>
              <w:szCs w:val="18"/>
            </w:rPr>
            <w:tab/>
          </w:r>
          <w:r>
            <w:rPr>
              <w:sz w:val="24"/>
              <w:szCs w:val="18"/>
            </w:rPr>
            <w:fldChar w:fldCharType="begin"/>
          </w:r>
          <w:r>
            <w:rPr>
              <w:sz w:val="24"/>
              <w:szCs w:val="18"/>
            </w:rPr>
            <w:instrText xml:space="preserve"> PAGEREF _Toc28976 \h </w:instrText>
          </w:r>
          <w:r>
            <w:rPr>
              <w:sz w:val="24"/>
              <w:szCs w:val="18"/>
            </w:rPr>
            <w:fldChar w:fldCharType="separate"/>
          </w:r>
          <w:r>
            <w:rPr>
              <w:sz w:val="24"/>
              <w:szCs w:val="18"/>
            </w:rPr>
            <w:t>19</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"_Toc14823" </w:instrText>
          </w:r>
          <w:r>
            <w:fldChar w:fldCharType="separate"/>
          </w:r>
          <w:r>
            <w:rPr>
              <w:rFonts w:hint="eastAsia" w:ascii="宋体" w:hAnsi="宋体"/>
              <w:sz w:val="24"/>
              <w:szCs w:val="24"/>
            </w:rPr>
            <w:t>八、签订合同</w:t>
          </w:r>
          <w:r>
            <w:rPr>
              <w:sz w:val="24"/>
              <w:szCs w:val="18"/>
            </w:rPr>
            <w:tab/>
          </w:r>
          <w:r>
            <w:rPr>
              <w:sz w:val="24"/>
              <w:szCs w:val="18"/>
            </w:rPr>
            <w:fldChar w:fldCharType="begin"/>
          </w:r>
          <w:r>
            <w:rPr>
              <w:sz w:val="24"/>
              <w:szCs w:val="18"/>
            </w:rPr>
            <w:instrText xml:space="preserve"> PAGEREF _Toc14823 \h </w:instrText>
          </w:r>
          <w:r>
            <w:rPr>
              <w:sz w:val="24"/>
              <w:szCs w:val="18"/>
            </w:rPr>
            <w:fldChar w:fldCharType="separate"/>
          </w:r>
          <w:r>
            <w:rPr>
              <w:sz w:val="24"/>
              <w:szCs w:val="18"/>
            </w:rPr>
            <w:t>20</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"_Toc17712" </w:instrText>
          </w:r>
          <w:r>
            <w:fldChar w:fldCharType="separate"/>
          </w:r>
          <w:r>
            <w:rPr>
              <w:rFonts w:hint="eastAsia" w:ascii="宋体" w:hAnsi="宋体"/>
              <w:sz w:val="24"/>
              <w:szCs w:val="32"/>
            </w:rPr>
            <w:t>第</w:t>
          </w:r>
          <w:r>
            <w:rPr>
              <w:rFonts w:ascii="宋体" w:hAnsi="宋体"/>
              <w:sz w:val="24"/>
              <w:szCs w:val="32"/>
            </w:rPr>
            <w:t>六篇</w:t>
          </w:r>
          <w:r>
            <w:rPr>
              <w:rFonts w:hint="eastAsia" w:ascii="宋体" w:hAnsi="宋体"/>
              <w:sz w:val="24"/>
              <w:szCs w:val="32"/>
            </w:rPr>
            <w:t xml:space="preserve">  采购合同（参考格式）</w:t>
          </w:r>
          <w:r>
            <w:rPr>
              <w:sz w:val="24"/>
              <w:szCs w:val="18"/>
            </w:rPr>
            <w:tab/>
          </w:r>
          <w:r>
            <w:rPr>
              <w:sz w:val="24"/>
              <w:szCs w:val="18"/>
            </w:rPr>
            <w:fldChar w:fldCharType="begin"/>
          </w:r>
          <w:r>
            <w:rPr>
              <w:sz w:val="24"/>
              <w:szCs w:val="18"/>
            </w:rPr>
            <w:instrText xml:space="preserve"> PAGEREF _Toc17712 \h </w:instrText>
          </w:r>
          <w:r>
            <w:rPr>
              <w:sz w:val="24"/>
              <w:szCs w:val="18"/>
            </w:rPr>
            <w:fldChar w:fldCharType="separate"/>
          </w:r>
          <w:r>
            <w:rPr>
              <w:sz w:val="24"/>
              <w:szCs w:val="18"/>
            </w:rPr>
            <w:t>21</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"_Toc27711" </w:instrText>
          </w:r>
          <w:r>
            <w:fldChar w:fldCharType="separate"/>
          </w:r>
          <w:r>
            <w:rPr>
              <w:rFonts w:hint="eastAsia" w:ascii="宋体" w:hAnsi="宋体"/>
              <w:sz w:val="24"/>
              <w:szCs w:val="32"/>
            </w:rPr>
            <w:t>第</w:t>
          </w:r>
          <w:r>
            <w:rPr>
              <w:rFonts w:ascii="宋体" w:hAnsi="宋体"/>
              <w:sz w:val="24"/>
              <w:szCs w:val="32"/>
            </w:rPr>
            <w:t>七</w:t>
          </w:r>
          <w:r>
            <w:rPr>
              <w:rFonts w:hint="eastAsia" w:ascii="宋体" w:hAnsi="宋体"/>
              <w:sz w:val="24"/>
              <w:szCs w:val="32"/>
            </w:rPr>
            <w:t>篇 竞选文件编制要求</w:t>
          </w:r>
          <w:r>
            <w:rPr>
              <w:sz w:val="24"/>
              <w:szCs w:val="18"/>
            </w:rPr>
            <w:tab/>
          </w:r>
          <w:r>
            <w:rPr>
              <w:sz w:val="24"/>
              <w:szCs w:val="18"/>
            </w:rPr>
            <w:fldChar w:fldCharType="begin"/>
          </w:r>
          <w:r>
            <w:rPr>
              <w:sz w:val="24"/>
              <w:szCs w:val="18"/>
            </w:rPr>
            <w:instrText xml:space="preserve"> PAGEREF _Toc27711 \h </w:instrText>
          </w:r>
          <w:r>
            <w:rPr>
              <w:sz w:val="24"/>
              <w:szCs w:val="18"/>
            </w:rPr>
            <w:fldChar w:fldCharType="separate"/>
          </w:r>
          <w:r>
            <w:rPr>
              <w:sz w:val="24"/>
              <w:szCs w:val="18"/>
            </w:rPr>
            <w:t>22</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"_Toc28867" </w:instrText>
          </w:r>
          <w:r>
            <w:fldChar w:fldCharType="separate"/>
          </w:r>
          <w:r>
            <w:rPr>
              <w:rFonts w:hint="eastAsia" w:ascii="宋体" w:hAnsi="宋体"/>
              <w:sz w:val="24"/>
              <w:szCs w:val="22"/>
            </w:rPr>
            <w:t>一</w:t>
          </w:r>
          <w:r>
            <w:rPr>
              <w:rFonts w:ascii="宋体" w:hAnsi="宋体"/>
              <w:sz w:val="24"/>
              <w:szCs w:val="22"/>
            </w:rPr>
            <w:t>、</w:t>
          </w:r>
          <w:r>
            <w:rPr>
              <w:rFonts w:hint="eastAsia" w:ascii="宋体" w:hAnsi="宋体"/>
              <w:sz w:val="24"/>
              <w:szCs w:val="22"/>
            </w:rPr>
            <w:t>竞选文件封面</w:t>
          </w:r>
          <w:r>
            <w:rPr>
              <w:sz w:val="24"/>
              <w:szCs w:val="18"/>
            </w:rPr>
            <w:tab/>
          </w:r>
          <w:r>
            <w:rPr>
              <w:sz w:val="24"/>
              <w:szCs w:val="18"/>
            </w:rPr>
            <w:fldChar w:fldCharType="begin"/>
          </w:r>
          <w:r>
            <w:rPr>
              <w:sz w:val="24"/>
              <w:szCs w:val="18"/>
            </w:rPr>
            <w:instrText xml:space="preserve"> PAGEREF _Toc28867 \h </w:instrText>
          </w:r>
          <w:r>
            <w:rPr>
              <w:sz w:val="24"/>
              <w:szCs w:val="18"/>
            </w:rPr>
            <w:fldChar w:fldCharType="separate"/>
          </w:r>
          <w:r>
            <w:rPr>
              <w:sz w:val="24"/>
              <w:szCs w:val="18"/>
            </w:rPr>
            <w:t>23</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"_Toc14548" </w:instrText>
          </w:r>
          <w:r>
            <w:fldChar w:fldCharType="separate"/>
          </w:r>
          <w:r>
            <w:rPr>
              <w:rFonts w:hint="eastAsia" w:ascii="宋体" w:hAnsi="宋体"/>
              <w:sz w:val="24"/>
              <w:szCs w:val="22"/>
            </w:rPr>
            <w:t>二、经济部分</w:t>
          </w:r>
          <w:r>
            <w:rPr>
              <w:sz w:val="24"/>
              <w:szCs w:val="18"/>
            </w:rPr>
            <w:tab/>
          </w:r>
          <w:r>
            <w:rPr>
              <w:sz w:val="24"/>
              <w:szCs w:val="18"/>
            </w:rPr>
            <w:fldChar w:fldCharType="begin"/>
          </w:r>
          <w:r>
            <w:rPr>
              <w:sz w:val="24"/>
              <w:szCs w:val="18"/>
            </w:rPr>
            <w:instrText xml:space="preserve"> PAGEREF _Toc14548 \h </w:instrText>
          </w:r>
          <w:r>
            <w:rPr>
              <w:sz w:val="24"/>
              <w:szCs w:val="18"/>
            </w:rPr>
            <w:fldChar w:fldCharType="separate"/>
          </w:r>
          <w:r>
            <w:rPr>
              <w:sz w:val="24"/>
              <w:szCs w:val="18"/>
            </w:rPr>
            <w:t>24</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"_Toc28147" </w:instrText>
          </w:r>
          <w:r>
            <w:fldChar w:fldCharType="separate"/>
          </w:r>
          <w:r>
            <w:rPr>
              <w:rFonts w:hint="eastAsia" w:ascii="宋体" w:hAnsi="宋体"/>
              <w:sz w:val="24"/>
              <w:szCs w:val="22"/>
            </w:rPr>
            <w:t>三、服务部分</w:t>
          </w:r>
          <w:r>
            <w:rPr>
              <w:sz w:val="24"/>
              <w:szCs w:val="18"/>
            </w:rPr>
            <w:tab/>
          </w:r>
          <w:r>
            <w:rPr>
              <w:sz w:val="24"/>
              <w:szCs w:val="18"/>
            </w:rPr>
            <w:fldChar w:fldCharType="begin"/>
          </w:r>
          <w:r>
            <w:rPr>
              <w:sz w:val="24"/>
              <w:szCs w:val="18"/>
            </w:rPr>
            <w:instrText xml:space="preserve"> PAGEREF _Toc28147 \h </w:instrText>
          </w:r>
          <w:r>
            <w:rPr>
              <w:sz w:val="24"/>
              <w:szCs w:val="18"/>
            </w:rPr>
            <w:fldChar w:fldCharType="separate"/>
          </w:r>
          <w:r>
            <w:rPr>
              <w:sz w:val="24"/>
              <w:szCs w:val="18"/>
            </w:rPr>
            <w:t>25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"_Toc4099" </w:instrText>
          </w:r>
          <w:r>
            <w:fldChar w:fldCharType="separate"/>
          </w:r>
          <w:r>
            <w:rPr>
              <w:rFonts w:hint="eastAsia" w:ascii="宋体" w:hAnsi="宋体"/>
              <w:sz w:val="24"/>
              <w:szCs w:val="22"/>
            </w:rPr>
            <w:t>四、商务部分</w:t>
          </w:r>
          <w:r>
            <w:rPr>
              <w:sz w:val="24"/>
              <w:szCs w:val="18"/>
            </w:rPr>
            <w:tab/>
          </w:r>
          <w:r>
            <w:rPr>
              <w:sz w:val="24"/>
              <w:szCs w:val="18"/>
            </w:rPr>
            <w:fldChar w:fldCharType="begin"/>
          </w:r>
          <w:r>
            <w:rPr>
              <w:sz w:val="24"/>
              <w:szCs w:val="18"/>
            </w:rPr>
            <w:instrText xml:space="preserve"> PAGEREF _Toc4099 \h </w:instrText>
          </w:r>
          <w:r>
            <w:rPr>
              <w:sz w:val="24"/>
              <w:szCs w:val="18"/>
            </w:rPr>
            <w:fldChar w:fldCharType="separate"/>
          </w:r>
          <w:r>
            <w:rPr>
              <w:sz w:val="24"/>
              <w:szCs w:val="18"/>
            </w:rPr>
            <w:t>27</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"_Toc16413" </w:instrText>
          </w:r>
          <w:r>
            <w:fldChar w:fldCharType="separate"/>
          </w:r>
          <w:r>
            <w:rPr>
              <w:rFonts w:hint="eastAsia" w:ascii="宋体" w:hAnsi="宋体"/>
              <w:sz w:val="24"/>
              <w:szCs w:val="22"/>
            </w:rPr>
            <w:t>五、资格条件及其他</w:t>
          </w:r>
          <w:r>
            <w:rPr>
              <w:sz w:val="24"/>
              <w:szCs w:val="18"/>
            </w:rPr>
            <w:tab/>
          </w:r>
          <w:r>
            <w:rPr>
              <w:sz w:val="24"/>
              <w:szCs w:val="18"/>
            </w:rPr>
            <w:fldChar w:fldCharType="begin"/>
          </w:r>
          <w:r>
            <w:rPr>
              <w:sz w:val="24"/>
              <w:szCs w:val="18"/>
            </w:rPr>
            <w:instrText xml:space="preserve"> PAGEREF _Toc16413 \h </w:instrText>
          </w:r>
          <w:r>
            <w:rPr>
              <w:sz w:val="24"/>
              <w:szCs w:val="18"/>
            </w:rPr>
            <w:fldChar w:fldCharType="separate"/>
          </w:r>
          <w:r>
            <w:rPr>
              <w:sz w:val="24"/>
              <w:szCs w:val="18"/>
            </w:rPr>
            <w:t>29</w:t>
          </w:r>
          <w:r>
            <w:rPr>
              <w:sz w:val="24"/>
              <w:szCs w:val="18"/>
            </w:rPr>
            <w:fldChar w:fldCharType="end"/>
          </w:r>
          <w:r>
            <w:rPr>
              <w:sz w:val="24"/>
              <w:szCs w:val="18"/>
            </w:rPr>
            <w:fldChar w:fldCharType="end"/>
          </w:r>
        </w:p>
        <w:p>
          <w:pPr>
            <w:tabs>
              <w:tab w:val="right" w:leader="dot" w:pos="9071"/>
            </w:tabs>
            <w:spacing w:line="340" w:lineRule="exact"/>
            <w:jc w:val="center"/>
            <w:rPr>
              <w:rFonts w:ascii="方正仿宋_GBK" w:hAnsi="Calibri" w:eastAsia="方正仿宋_GBK"/>
              <w:color w:val="000000"/>
              <w:sz w:val="21"/>
              <w:szCs w:val="21"/>
            </w:rPr>
            <w:sectPr>
              <w:footerReference r:id="rId7" w:type="first"/>
              <w:footerReference r:id="rId6" w:type="default"/>
              <w:pgSz w:w="11907" w:h="16840"/>
              <w:pgMar w:top="1134" w:right="1418" w:bottom="1134" w:left="1418" w:header="851" w:footer="992" w:gutter="0"/>
              <w:pgNumType w:start="1"/>
              <w:cols w:space="720" w:num="1"/>
              <w:titlePg/>
              <w:docGrid w:linePitch="381" w:charSpace="-5735"/>
            </w:sectPr>
          </w:pPr>
          <w:r>
            <w:rPr>
              <w:rFonts w:ascii="方正仿宋_GBK" w:hAnsi="Calibri" w:eastAsia="方正仿宋_GBK"/>
              <w:color w:val="000000"/>
              <w:szCs w:val="21"/>
            </w:rPr>
            <w:fldChar w:fldCharType="end"/>
          </w:r>
        </w:p>
      </w:sdtContent>
    </w:sdt>
    <w:p>
      <w:pPr>
        <w:pStyle w:val="4"/>
        <w:spacing w:line="360" w:lineRule="auto"/>
        <w:jc w:val="center"/>
        <w:rPr>
          <w:rFonts w:ascii="宋体" w:hAnsi="宋体" w:eastAsia="宋体"/>
          <w:color w:val="000000"/>
          <w:sz w:val="36"/>
          <w:szCs w:val="36"/>
        </w:rPr>
      </w:pPr>
      <w:bookmarkStart w:id="18" w:name="_Toc12789052"/>
      <w:bookmarkStart w:id="19" w:name="_Toc31195"/>
      <w:bookmarkStart w:id="20" w:name="_Toc10400"/>
      <w:bookmarkStart w:id="21" w:name="_Toc11641050"/>
      <w:r>
        <w:rPr>
          <w:rFonts w:hint="eastAsia" w:ascii="宋体" w:hAnsi="宋体" w:eastAsia="宋体"/>
          <w:color w:val="000000"/>
          <w:sz w:val="36"/>
          <w:szCs w:val="36"/>
        </w:rPr>
        <w:t>第一篇  竞争性比选邀请书</w:t>
      </w:r>
      <w:bookmarkEnd w:id="18"/>
      <w:bookmarkEnd w:id="19"/>
      <w:bookmarkEnd w:id="20"/>
      <w:bookmarkEnd w:id="21"/>
    </w:p>
    <w:p>
      <w:pPr>
        <w:snapToGrid w:val="0"/>
        <w:spacing w:line="360" w:lineRule="auto"/>
        <w:ind w:firstLine="560" w:firstLineChars="200"/>
        <w:rPr>
          <w:rFonts w:ascii="宋体" w:hAnsi="宋体"/>
          <w:color w:val="000000"/>
          <w:szCs w:val="28"/>
        </w:rPr>
      </w:pPr>
      <w:bookmarkStart w:id="22" w:name="_Toc317775175"/>
      <w:bookmarkStart w:id="23" w:name="_Toc313893526"/>
      <w:r>
        <w:rPr>
          <w:rFonts w:hint="eastAsia" w:ascii="宋体" w:hAnsi="宋体"/>
          <w:color w:val="000000"/>
          <w:szCs w:val="28"/>
        </w:rPr>
        <w:t>瀚景项目管理有限公司重庆分公司（以下简称：比选代理机构）受重庆市统计局（以下简称：比选人）的委托，对</w:t>
      </w:r>
      <w:r>
        <w:rPr>
          <w:rFonts w:hint="eastAsia" w:ascii="宋体" w:hAnsi="宋体"/>
          <w:color w:val="000000"/>
          <w:szCs w:val="28"/>
          <w:u w:val="single"/>
        </w:rPr>
        <w:t>重庆市统计大数据平台建设项目可行性研究及概算方案编制（代初步设计）</w:t>
      </w:r>
      <w:r>
        <w:rPr>
          <w:rFonts w:hint="eastAsia" w:ascii="宋体" w:hAnsi="宋体"/>
          <w:color w:val="000000"/>
          <w:szCs w:val="28"/>
        </w:rPr>
        <w:t>进行竞争性比选。欢迎有资格的竞选人前来参加比选。</w:t>
      </w:r>
    </w:p>
    <w:p>
      <w:pPr>
        <w:pStyle w:val="5"/>
        <w:spacing w:before="0" w:after="0" w:line="360" w:lineRule="auto"/>
        <w:rPr>
          <w:rFonts w:ascii="宋体" w:hAnsi="宋体"/>
          <w:color w:val="000000"/>
          <w:sz w:val="28"/>
          <w:szCs w:val="28"/>
        </w:rPr>
      </w:pPr>
      <w:bookmarkStart w:id="24" w:name="_Toc21745"/>
      <w:bookmarkStart w:id="25" w:name="_Toc31656"/>
      <w:r>
        <w:rPr>
          <w:rFonts w:hint="eastAsia" w:ascii="宋体" w:hAnsi="宋体"/>
          <w:color w:val="000000"/>
          <w:sz w:val="28"/>
          <w:szCs w:val="28"/>
        </w:rPr>
        <w:t>一、竞争性比选内容</w:t>
      </w:r>
      <w:bookmarkEnd w:id="22"/>
      <w:bookmarkEnd w:id="23"/>
      <w:bookmarkEnd w:id="24"/>
      <w:bookmarkEnd w:id="25"/>
    </w:p>
    <w:tbl>
      <w:tblPr>
        <w:tblStyle w:val="67"/>
        <w:tblW w:w="8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比选内容</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方案编制费计费比例</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比选保证金</w:t>
            </w:r>
          </w:p>
          <w:p>
            <w:pPr>
              <w:widowControl/>
              <w:jc w:val="center"/>
              <w:rPr>
                <w:rFonts w:ascii="宋体" w:hAnsi="宋体"/>
                <w:b/>
                <w:color w:val="000000"/>
                <w:szCs w:val="28"/>
              </w:rPr>
            </w:pPr>
            <w:r>
              <w:rPr>
                <w:rFonts w:hint="eastAsia" w:ascii="宋体" w:hAnsi="宋体"/>
                <w:b/>
                <w:color w:val="000000"/>
                <w:szCs w:val="28"/>
              </w:rPr>
              <w:t>(元)</w:t>
            </w:r>
          </w:p>
        </w:tc>
        <w:tc>
          <w:tcPr>
            <w:tcW w:w="1949"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中选人</w:t>
            </w:r>
          </w:p>
          <w:p>
            <w:pPr>
              <w:jc w:val="center"/>
              <w:rPr>
                <w:rFonts w:ascii="宋体" w:hAnsi="宋体"/>
                <w:b/>
                <w:color w:val="000000"/>
                <w:szCs w:val="28"/>
              </w:rPr>
            </w:pPr>
            <w:r>
              <w:rPr>
                <w:rFonts w:hint="eastAsia" w:ascii="宋体" w:hAnsi="宋体"/>
                <w:b/>
                <w:color w:val="00000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olor w:val="000000"/>
                <w:szCs w:val="28"/>
              </w:rPr>
              <w:t>重庆市统计大数据平台建设项目可行性研究及概算方案编制（代初步设计）</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按照市发展改革委和市财政局最终概算批复的1%计算（最高不超过30万）</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5000</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1名</w:t>
            </w:r>
          </w:p>
        </w:tc>
      </w:tr>
    </w:tbl>
    <w:p>
      <w:pPr>
        <w:pStyle w:val="5"/>
        <w:spacing w:before="0" w:after="0" w:line="360" w:lineRule="auto"/>
        <w:rPr>
          <w:rFonts w:ascii="宋体" w:hAnsi="宋体"/>
          <w:color w:val="000000"/>
          <w:sz w:val="28"/>
          <w:szCs w:val="28"/>
        </w:rPr>
      </w:pPr>
      <w:bookmarkStart w:id="26" w:name="_Toc24072"/>
      <w:bookmarkStart w:id="27" w:name="_Toc1892"/>
      <w:bookmarkStart w:id="28" w:name="_Toc373860293"/>
      <w:bookmarkStart w:id="29" w:name="_Toc317775178"/>
      <w:r>
        <w:rPr>
          <w:rFonts w:hint="eastAsia" w:ascii="宋体" w:hAnsi="宋体"/>
          <w:color w:val="000000"/>
          <w:sz w:val="28"/>
          <w:szCs w:val="28"/>
        </w:rPr>
        <w:t>二、资金来源</w:t>
      </w:r>
      <w:bookmarkEnd w:id="26"/>
      <w:bookmarkEnd w:id="27"/>
    </w:p>
    <w:p>
      <w:pPr>
        <w:spacing w:line="360" w:lineRule="auto"/>
        <w:ind w:firstLine="560" w:firstLineChars="200"/>
        <w:rPr>
          <w:rFonts w:ascii="宋体" w:hAnsi="宋体"/>
          <w:color w:val="000000"/>
          <w:szCs w:val="28"/>
        </w:rPr>
      </w:pPr>
      <w:r>
        <w:rPr>
          <w:rFonts w:hint="eastAsia" w:ascii="宋体" w:hAnsi="宋体" w:cs="仿宋"/>
          <w:color w:val="000000"/>
          <w:szCs w:val="28"/>
        </w:rPr>
        <w:t>财政资金。</w:t>
      </w:r>
    </w:p>
    <w:p>
      <w:pPr>
        <w:pStyle w:val="5"/>
        <w:spacing w:before="0" w:after="0" w:line="360" w:lineRule="auto"/>
        <w:rPr>
          <w:rFonts w:ascii="宋体" w:hAnsi="宋体"/>
          <w:color w:val="000000"/>
          <w:sz w:val="28"/>
          <w:szCs w:val="28"/>
        </w:rPr>
      </w:pPr>
      <w:bookmarkStart w:id="30" w:name="_Toc1137"/>
      <w:bookmarkStart w:id="31" w:name="_Toc5210"/>
      <w:r>
        <w:rPr>
          <w:rFonts w:hint="eastAsia" w:ascii="宋体" w:hAnsi="宋体"/>
          <w:color w:val="000000"/>
          <w:sz w:val="28"/>
          <w:szCs w:val="28"/>
        </w:rPr>
        <w:t>三、竞选人</w:t>
      </w:r>
      <w:r>
        <w:rPr>
          <w:rFonts w:ascii="宋体" w:hAnsi="宋体"/>
          <w:color w:val="000000"/>
          <w:sz w:val="28"/>
          <w:szCs w:val="28"/>
        </w:rPr>
        <w:t>的</w:t>
      </w:r>
      <w:r>
        <w:rPr>
          <w:rFonts w:hint="eastAsia" w:ascii="宋体" w:hAnsi="宋体"/>
          <w:color w:val="000000"/>
          <w:sz w:val="28"/>
          <w:szCs w:val="28"/>
        </w:rPr>
        <w:t>资格条</w:t>
      </w:r>
      <w:r>
        <w:rPr>
          <w:rFonts w:ascii="宋体" w:hAnsi="宋体"/>
          <w:color w:val="000000"/>
          <w:sz w:val="28"/>
          <w:szCs w:val="28"/>
        </w:rPr>
        <w:t>件</w:t>
      </w:r>
      <w:bookmarkEnd w:id="30"/>
      <w:bookmarkEnd w:id="31"/>
    </w:p>
    <w:p>
      <w:pPr>
        <w:spacing w:line="360" w:lineRule="auto"/>
        <w:ind w:firstLine="560" w:firstLineChars="200"/>
        <w:rPr>
          <w:rFonts w:ascii="宋体" w:hAnsi="宋体"/>
          <w:color w:val="000000"/>
          <w:szCs w:val="28"/>
        </w:rPr>
      </w:pPr>
      <w:r>
        <w:rPr>
          <w:rFonts w:hint="eastAsia" w:ascii="宋体" w:hAnsi="宋体"/>
          <w:color w:val="000000"/>
          <w:szCs w:val="28"/>
        </w:rPr>
        <w:t>竞选人需满足以下基本资格条件，同时符合根据该项目特点设置的特定资格条件。</w:t>
      </w:r>
    </w:p>
    <w:p>
      <w:pPr>
        <w:spacing w:line="360" w:lineRule="auto"/>
        <w:ind w:firstLine="560" w:firstLineChars="200"/>
        <w:rPr>
          <w:rFonts w:ascii="宋体" w:hAnsi="宋体"/>
          <w:color w:val="000000"/>
          <w:szCs w:val="28"/>
        </w:rPr>
      </w:pPr>
      <w:r>
        <w:rPr>
          <w:rFonts w:hint="eastAsia" w:ascii="宋体" w:hAnsi="宋体"/>
          <w:color w:val="000000"/>
          <w:szCs w:val="28"/>
        </w:rPr>
        <w:t>（一）基本资格条件</w:t>
      </w:r>
    </w:p>
    <w:p>
      <w:pPr>
        <w:spacing w:line="360" w:lineRule="auto"/>
        <w:ind w:firstLine="560" w:firstLineChars="200"/>
        <w:rPr>
          <w:rFonts w:ascii="宋体" w:hAnsi="宋体"/>
          <w:color w:val="000000"/>
          <w:szCs w:val="28"/>
        </w:rPr>
      </w:pPr>
      <w:r>
        <w:rPr>
          <w:rFonts w:hint="eastAsia" w:ascii="宋体" w:hAnsi="宋体"/>
          <w:color w:val="000000"/>
          <w:szCs w:val="28"/>
        </w:rPr>
        <w:t>1．具有独立承担民事责任的能力；</w:t>
      </w:r>
    </w:p>
    <w:p>
      <w:pPr>
        <w:spacing w:line="360" w:lineRule="auto"/>
        <w:ind w:firstLine="560" w:firstLineChars="200"/>
        <w:rPr>
          <w:rFonts w:ascii="宋体" w:hAnsi="宋体"/>
          <w:color w:val="000000"/>
          <w:szCs w:val="28"/>
        </w:rPr>
      </w:pPr>
      <w:r>
        <w:rPr>
          <w:rFonts w:hint="eastAsia" w:ascii="宋体" w:hAnsi="宋体"/>
          <w:color w:val="000000"/>
          <w:szCs w:val="28"/>
        </w:rPr>
        <w:t>2．具有良好的商业信誉和健全的财务会计制度；</w:t>
      </w:r>
    </w:p>
    <w:p>
      <w:pPr>
        <w:spacing w:line="360" w:lineRule="auto"/>
        <w:ind w:firstLine="560" w:firstLineChars="200"/>
        <w:rPr>
          <w:rFonts w:ascii="宋体" w:hAnsi="宋体"/>
          <w:color w:val="000000"/>
          <w:szCs w:val="28"/>
        </w:rPr>
      </w:pPr>
      <w:r>
        <w:rPr>
          <w:rFonts w:hint="eastAsia" w:ascii="宋体" w:hAnsi="宋体"/>
          <w:color w:val="000000"/>
          <w:szCs w:val="28"/>
        </w:rPr>
        <w:t>3．具有履行合同所必需的设备和专业技术能力；</w:t>
      </w:r>
    </w:p>
    <w:p>
      <w:pPr>
        <w:spacing w:line="360" w:lineRule="auto"/>
        <w:ind w:firstLine="560" w:firstLineChars="200"/>
        <w:rPr>
          <w:rFonts w:ascii="宋体" w:hAnsi="宋体"/>
          <w:color w:val="000000"/>
          <w:szCs w:val="28"/>
        </w:rPr>
      </w:pPr>
      <w:r>
        <w:rPr>
          <w:rFonts w:hint="eastAsia" w:ascii="宋体" w:hAnsi="宋体"/>
          <w:color w:val="000000"/>
          <w:szCs w:val="28"/>
        </w:rPr>
        <w:t>4．有依法缴纳税收和社会保障资金的良好记录；</w:t>
      </w:r>
    </w:p>
    <w:p>
      <w:pPr>
        <w:spacing w:line="360" w:lineRule="auto"/>
        <w:ind w:firstLine="560" w:firstLineChars="200"/>
        <w:rPr>
          <w:rFonts w:ascii="宋体" w:hAnsi="宋体"/>
          <w:color w:val="000000"/>
          <w:szCs w:val="28"/>
        </w:rPr>
      </w:pPr>
      <w:r>
        <w:rPr>
          <w:rFonts w:hint="eastAsia" w:ascii="宋体" w:hAnsi="宋体"/>
          <w:color w:val="000000"/>
          <w:szCs w:val="28"/>
        </w:rPr>
        <w:t>5．参加比选前三年内，在经营活动中没有重大违法记录；</w:t>
      </w:r>
    </w:p>
    <w:p>
      <w:pPr>
        <w:spacing w:line="360" w:lineRule="auto"/>
        <w:ind w:firstLine="560" w:firstLineChars="200"/>
        <w:rPr>
          <w:rFonts w:ascii="宋体" w:hAnsi="宋体"/>
          <w:color w:val="000000"/>
          <w:szCs w:val="28"/>
        </w:rPr>
      </w:pPr>
      <w:r>
        <w:rPr>
          <w:rFonts w:hint="eastAsia" w:ascii="宋体" w:hAnsi="宋体"/>
          <w:color w:val="000000"/>
          <w:szCs w:val="28"/>
        </w:rPr>
        <w:t>6．法律、行政法规规定的其他条件。</w:t>
      </w:r>
    </w:p>
    <w:p>
      <w:pPr>
        <w:spacing w:line="360" w:lineRule="auto"/>
        <w:ind w:firstLine="560" w:firstLineChars="200"/>
        <w:rPr>
          <w:rFonts w:ascii="宋体" w:hAnsi="宋体"/>
          <w:szCs w:val="28"/>
        </w:rPr>
      </w:pPr>
      <w:r>
        <w:rPr>
          <w:rFonts w:hint="eastAsia" w:ascii="宋体" w:hAnsi="宋体"/>
          <w:szCs w:val="28"/>
        </w:rPr>
        <w:t>（二）特定资格条件（满足下列1或2任意一项）</w:t>
      </w:r>
    </w:p>
    <w:p>
      <w:pPr>
        <w:spacing w:line="360" w:lineRule="auto"/>
        <w:ind w:firstLine="560" w:firstLineChars="200"/>
        <w:rPr>
          <w:rFonts w:ascii="宋体" w:hAnsi="宋体"/>
          <w:szCs w:val="28"/>
        </w:rPr>
      </w:pPr>
      <w:r>
        <w:rPr>
          <w:rFonts w:hint="eastAsia" w:ascii="宋体" w:hAnsi="宋体"/>
          <w:szCs w:val="28"/>
        </w:rPr>
        <w:t>1.具备建设行政主管部门颁发的工程设计综合甲级资质；</w:t>
      </w:r>
    </w:p>
    <w:p>
      <w:pPr>
        <w:spacing w:line="360" w:lineRule="auto"/>
        <w:ind w:firstLine="560" w:firstLineChars="200"/>
        <w:rPr>
          <w:rFonts w:ascii="宋体" w:hAnsi="宋体"/>
          <w:szCs w:val="28"/>
        </w:rPr>
      </w:pPr>
      <w:r>
        <w:rPr>
          <w:rFonts w:hint="eastAsia" w:ascii="宋体" w:hAnsi="宋体"/>
          <w:szCs w:val="28"/>
        </w:rPr>
        <w:t>2.具备建设行政主管部门颁发的电子通信广电行业（通信工程）行业甲级或电子通信广电行业（有线通信、无线通信）专业甲级资质。</w:t>
      </w:r>
    </w:p>
    <w:p>
      <w:pPr>
        <w:spacing w:line="360" w:lineRule="auto"/>
        <w:ind w:firstLine="560" w:firstLineChars="200"/>
        <w:rPr>
          <w:rFonts w:ascii="宋体" w:hAnsi="宋体"/>
          <w:szCs w:val="28"/>
        </w:rPr>
      </w:pPr>
      <w:r>
        <w:rPr>
          <w:rFonts w:hint="eastAsia" w:ascii="宋体" w:hAnsi="宋体"/>
          <w:szCs w:val="28"/>
        </w:rPr>
        <w:t>注：供应商提供资质证书复印件并加盖供应商公章，原件备查。</w:t>
      </w:r>
    </w:p>
    <w:p>
      <w:pPr>
        <w:pStyle w:val="5"/>
        <w:spacing w:before="0" w:after="0" w:line="360" w:lineRule="auto"/>
        <w:rPr>
          <w:rFonts w:ascii="宋体" w:hAnsi="宋体"/>
          <w:color w:val="000000"/>
          <w:sz w:val="28"/>
          <w:szCs w:val="28"/>
        </w:rPr>
      </w:pPr>
      <w:bookmarkStart w:id="32" w:name="_Toc29239"/>
      <w:bookmarkStart w:id="33" w:name="_Toc18631"/>
      <w:r>
        <w:rPr>
          <w:rFonts w:hint="eastAsia" w:ascii="宋体" w:hAnsi="宋体"/>
          <w:color w:val="000000"/>
          <w:sz w:val="28"/>
          <w:szCs w:val="28"/>
        </w:rPr>
        <w:t>四、比选的有关说明</w:t>
      </w:r>
      <w:bookmarkEnd w:id="28"/>
      <w:bookmarkEnd w:id="32"/>
      <w:bookmarkEnd w:id="33"/>
    </w:p>
    <w:p>
      <w:pPr>
        <w:spacing w:line="360" w:lineRule="auto"/>
        <w:ind w:firstLine="560" w:firstLineChars="200"/>
        <w:rPr>
          <w:rFonts w:ascii="宋体" w:hAnsi="宋体"/>
          <w:color w:val="000000"/>
          <w:szCs w:val="28"/>
        </w:rPr>
      </w:pPr>
      <w:bookmarkStart w:id="34" w:name="_Toc373860294"/>
      <w:r>
        <w:rPr>
          <w:rFonts w:hint="eastAsia" w:ascii="宋体" w:hAnsi="宋体"/>
          <w:color w:val="000000"/>
          <w:szCs w:val="28"/>
        </w:rPr>
        <w:t>（一）凡有意参加比选的竞选人，请在“重庆市统计局”官方网站（http://tjj.cq.gov.cn/）下载本项目竞争性比选文件以及补遗等比选前公布的所有项目资料，无论竞选人下载与否，均视为已知晓所有比选实质性要求内容。</w:t>
      </w:r>
    </w:p>
    <w:p>
      <w:pPr>
        <w:spacing w:line="360" w:lineRule="auto"/>
        <w:ind w:firstLine="565" w:firstLineChars="202"/>
        <w:rPr>
          <w:rFonts w:ascii="宋体" w:hAnsi="宋体" w:eastAsia="MS Mincho"/>
          <w:color w:val="000000"/>
          <w:szCs w:val="28"/>
          <w:lang w:eastAsia="ja-JP"/>
        </w:rPr>
      </w:pPr>
      <w:r>
        <w:rPr>
          <w:rFonts w:hint="eastAsia" w:ascii="宋体" w:hAnsi="宋体"/>
          <w:color w:val="000000"/>
          <w:szCs w:val="28"/>
        </w:rPr>
        <w:t>（三）报名及比选文件发售期：自公告发布之日起至2021年5月14日北京时间9:00至12:00，14:00至17:00。</w:t>
      </w:r>
    </w:p>
    <w:p>
      <w:pPr>
        <w:spacing w:line="360" w:lineRule="auto"/>
        <w:ind w:firstLine="560" w:firstLineChars="200"/>
        <w:rPr>
          <w:rFonts w:ascii="宋体" w:hAnsi="宋体"/>
          <w:color w:val="000000"/>
          <w:szCs w:val="28"/>
        </w:rPr>
      </w:pPr>
      <w:r>
        <w:rPr>
          <w:rFonts w:hint="eastAsia" w:ascii="宋体" w:hAnsi="宋体"/>
          <w:color w:val="000000"/>
          <w:szCs w:val="28"/>
        </w:rPr>
        <w:t>（四）</w:t>
      </w:r>
      <w:r>
        <w:rPr>
          <w:rFonts w:hint="eastAsia" w:ascii="宋体" w:hAnsi="宋体"/>
          <w:szCs w:val="28"/>
        </w:rPr>
        <w:t>比选文件购买费：500元/份（售后不退）</w:t>
      </w:r>
      <w:r>
        <w:rPr>
          <w:rFonts w:hint="eastAsia" w:ascii="宋体" w:hAnsi="宋体"/>
          <w:color w:val="000000"/>
          <w:szCs w:val="28"/>
        </w:rPr>
        <w:t>。</w:t>
      </w:r>
    </w:p>
    <w:p>
      <w:pPr>
        <w:spacing w:line="360" w:lineRule="auto"/>
        <w:ind w:firstLine="560" w:firstLineChars="200"/>
        <w:rPr>
          <w:rFonts w:ascii="宋体" w:hAnsi="宋体"/>
          <w:color w:val="000000"/>
          <w:szCs w:val="28"/>
        </w:rPr>
      </w:pPr>
      <w:r>
        <w:rPr>
          <w:rFonts w:hint="eastAsia" w:ascii="宋体" w:hAnsi="宋体"/>
          <w:color w:val="000000"/>
          <w:szCs w:val="28"/>
        </w:rPr>
        <w:t>（五）报名及比选文件的购买方式：</w:t>
      </w:r>
    </w:p>
    <w:p>
      <w:pPr>
        <w:spacing w:line="360" w:lineRule="auto"/>
        <w:ind w:firstLine="560" w:firstLineChars="200"/>
        <w:rPr>
          <w:rFonts w:ascii="宋体" w:hAnsi="宋体"/>
          <w:color w:val="000000"/>
          <w:szCs w:val="28"/>
        </w:rPr>
      </w:pPr>
      <w:r>
        <w:rPr>
          <w:rFonts w:hint="eastAsia" w:ascii="宋体" w:hAnsi="宋体"/>
          <w:color w:val="000000"/>
          <w:szCs w:val="28"/>
        </w:rPr>
        <w:t>在比选文件发售期内，竞选人将比选文件购买费用支付至以下账户内进行购买。将比选文件支付凭证（注明项目编号）、《比选文件发售登记表》（加盖竞选人公章）扫描后发送至3361758658@qq.com（邮箱）。</w:t>
      </w:r>
    </w:p>
    <w:p>
      <w:pPr>
        <w:spacing w:line="360" w:lineRule="auto"/>
        <w:ind w:firstLine="560" w:firstLineChars="200"/>
        <w:rPr>
          <w:rFonts w:ascii="宋体" w:hAnsi="宋体"/>
          <w:color w:val="000000"/>
          <w:szCs w:val="28"/>
        </w:rPr>
      </w:pPr>
      <w:r>
        <w:rPr>
          <w:rFonts w:hint="eastAsia" w:ascii="宋体" w:hAnsi="宋体"/>
          <w:color w:val="000000"/>
          <w:szCs w:val="28"/>
        </w:rPr>
        <w:t>户    名：瀚景项目管理有限公司重庆分公司</w:t>
      </w:r>
    </w:p>
    <w:p>
      <w:pPr>
        <w:spacing w:line="360" w:lineRule="auto"/>
        <w:ind w:firstLine="560" w:firstLineChars="200"/>
        <w:rPr>
          <w:rFonts w:ascii="宋体" w:hAnsi="宋体"/>
          <w:color w:val="000000"/>
          <w:szCs w:val="28"/>
        </w:rPr>
      </w:pPr>
      <w:r>
        <w:rPr>
          <w:rFonts w:hint="eastAsia" w:ascii="宋体" w:hAnsi="宋体"/>
          <w:color w:val="000000"/>
          <w:szCs w:val="28"/>
        </w:rPr>
        <w:t>账    号：123908446310202</w:t>
      </w:r>
    </w:p>
    <w:p>
      <w:pPr>
        <w:spacing w:line="360" w:lineRule="auto"/>
        <w:ind w:firstLine="560" w:firstLineChars="200"/>
        <w:rPr>
          <w:rFonts w:ascii="宋体" w:hAnsi="宋体"/>
          <w:color w:val="000000"/>
          <w:szCs w:val="28"/>
        </w:rPr>
      </w:pPr>
      <w:r>
        <w:rPr>
          <w:rFonts w:hint="eastAsia" w:ascii="宋体" w:hAnsi="宋体"/>
          <w:color w:val="000000"/>
          <w:szCs w:val="28"/>
        </w:rPr>
        <w:t>开户银行：招商银行股份有限公司重庆大学城支行</w:t>
      </w:r>
    </w:p>
    <w:p>
      <w:pPr>
        <w:spacing w:line="360" w:lineRule="auto"/>
        <w:ind w:firstLine="560" w:firstLineChars="200"/>
        <w:rPr>
          <w:rFonts w:ascii="宋体" w:hAnsi="宋体"/>
          <w:color w:val="000000"/>
          <w:szCs w:val="28"/>
        </w:rPr>
      </w:pPr>
      <w:r>
        <w:rPr>
          <w:rFonts w:hint="eastAsia" w:ascii="宋体" w:hAnsi="宋体"/>
          <w:color w:val="000000"/>
          <w:szCs w:val="28"/>
        </w:rPr>
        <w:t>备注：项目名称或项目编号+报名费（项目名称可简写）</w:t>
      </w:r>
    </w:p>
    <w:p>
      <w:pPr>
        <w:spacing w:line="360" w:lineRule="auto"/>
        <w:ind w:firstLine="560" w:firstLineChars="200"/>
        <w:rPr>
          <w:rFonts w:ascii="宋体" w:hAnsi="宋体"/>
          <w:color w:val="000000"/>
          <w:szCs w:val="28"/>
        </w:rPr>
      </w:pPr>
      <w:r>
        <w:rPr>
          <w:rFonts w:hint="eastAsia" w:ascii="宋体" w:hAnsi="宋体"/>
          <w:color w:val="000000"/>
          <w:szCs w:val="28"/>
        </w:rPr>
        <w:t>在报名和比选文件发售期内购买了比选文件的竞选人，其文件才被接收。</w:t>
      </w:r>
    </w:p>
    <w:p>
      <w:pPr>
        <w:numPr>
          <w:ilvl w:val="0"/>
          <w:numId w:val="1"/>
        </w:numPr>
        <w:spacing w:line="360" w:lineRule="auto"/>
        <w:ind w:firstLine="560" w:firstLineChars="200"/>
        <w:rPr>
          <w:rFonts w:ascii="宋体" w:hAnsi="宋体"/>
          <w:szCs w:val="28"/>
        </w:rPr>
      </w:pPr>
      <w:r>
        <w:rPr>
          <w:rFonts w:hint="eastAsia" w:ascii="宋体" w:hAnsi="宋体"/>
          <w:szCs w:val="28"/>
        </w:rPr>
        <w:t>递交竞选文件地点：重庆市统计局会议室1</w:t>
      </w:r>
      <w:r>
        <w:rPr>
          <w:rFonts w:ascii="宋体" w:hAnsi="宋体"/>
          <w:szCs w:val="28"/>
        </w:rPr>
        <w:t>7</w:t>
      </w:r>
      <w:r>
        <w:rPr>
          <w:rFonts w:hint="eastAsia" w:ascii="宋体" w:hAnsi="宋体"/>
          <w:szCs w:val="28"/>
        </w:rPr>
        <w:t>楼</w:t>
      </w:r>
      <w:r>
        <w:rPr>
          <w:rFonts w:ascii="宋体" w:hAnsi="宋体"/>
          <w:szCs w:val="28"/>
        </w:rPr>
        <w:t>一会议室</w:t>
      </w:r>
    </w:p>
    <w:p>
      <w:pPr>
        <w:spacing w:line="360" w:lineRule="auto"/>
        <w:ind w:firstLine="560" w:firstLineChars="200"/>
        <w:rPr>
          <w:rFonts w:ascii="宋体" w:hAnsi="宋体"/>
          <w:color w:val="000000"/>
          <w:szCs w:val="28"/>
        </w:rPr>
      </w:pPr>
      <w:r>
        <w:rPr>
          <w:rFonts w:hint="eastAsia" w:ascii="宋体" w:hAnsi="宋体"/>
          <w:szCs w:val="28"/>
        </w:rPr>
        <w:t>（七）</w:t>
      </w:r>
      <w:r>
        <w:rPr>
          <w:rFonts w:hint="eastAsia" w:ascii="宋体" w:hAnsi="宋体"/>
          <w:color w:val="000000"/>
          <w:szCs w:val="28"/>
        </w:rPr>
        <w:t>递交竞选文件开始</w:t>
      </w:r>
      <w:r>
        <w:rPr>
          <w:rFonts w:ascii="宋体" w:hAnsi="宋体"/>
          <w:color w:val="000000"/>
          <w:szCs w:val="28"/>
        </w:rPr>
        <w:t>时间</w:t>
      </w:r>
      <w:r>
        <w:rPr>
          <w:rFonts w:hint="eastAsia" w:ascii="宋体" w:hAnsi="宋体"/>
          <w:color w:val="000000"/>
          <w:szCs w:val="28"/>
        </w:rPr>
        <w:t>：2021年5月17日北京时间14:00</w:t>
      </w:r>
    </w:p>
    <w:p>
      <w:pPr>
        <w:spacing w:line="360" w:lineRule="auto"/>
        <w:ind w:firstLine="560" w:firstLineChars="200"/>
        <w:rPr>
          <w:rFonts w:ascii="宋体" w:hAnsi="宋体"/>
          <w:color w:val="000000"/>
          <w:szCs w:val="28"/>
        </w:rPr>
      </w:pPr>
      <w:r>
        <w:rPr>
          <w:rFonts w:hint="eastAsia" w:ascii="宋体" w:hAnsi="宋体"/>
          <w:color w:val="000000"/>
          <w:szCs w:val="28"/>
        </w:rPr>
        <w:t>（八</w:t>
      </w:r>
      <w:r>
        <w:rPr>
          <w:rFonts w:ascii="宋体" w:hAnsi="宋体"/>
          <w:color w:val="000000"/>
          <w:szCs w:val="28"/>
        </w:rPr>
        <w:t>）</w:t>
      </w:r>
      <w:r>
        <w:rPr>
          <w:rFonts w:hint="eastAsia" w:ascii="宋体" w:hAnsi="宋体"/>
          <w:color w:val="000000"/>
          <w:szCs w:val="28"/>
        </w:rPr>
        <w:t>递交竞选文件截止时间：2021年5月17日北京时间14:30</w:t>
      </w:r>
    </w:p>
    <w:p>
      <w:pPr>
        <w:spacing w:line="360" w:lineRule="auto"/>
        <w:ind w:firstLine="560" w:firstLineChars="200"/>
        <w:rPr>
          <w:rFonts w:ascii="宋体" w:hAnsi="宋体"/>
          <w:color w:val="000000"/>
          <w:szCs w:val="28"/>
        </w:rPr>
      </w:pPr>
      <w:r>
        <w:rPr>
          <w:rFonts w:hint="eastAsia" w:ascii="宋体" w:hAnsi="宋体"/>
          <w:color w:val="000000"/>
          <w:szCs w:val="28"/>
        </w:rPr>
        <w:t>（九）比选开始时间：2021年5月17日北京时间14:30</w:t>
      </w:r>
    </w:p>
    <w:p>
      <w:pPr>
        <w:spacing w:line="360" w:lineRule="auto"/>
        <w:ind w:firstLine="560" w:firstLineChars="200"/>
        <w:rPr>
          <w:rFonts w:ascii="宋体" w:hAnsi="宋体"/>
          <w:color w:val="000000"/>
          <w:szCs w:val="28"/>
        </w:rPr>
      </w:pPr>
      <w:r>
        <w:rPr>
          <w:rFonts w:hint="eastAsia" w:ascii="宋体" w:hAnsi="宋体"/>
          <w:color w:val="000000"/>
          <w:szCs w:val="28"/>
        </w:rPr>
        <w:t>（十）比选地</w:t>
      </w:r>
      <w:r>
        <w:rPr>
          <w:rFonts w:ascii="宋体" w:hAnsi="宋体"/>
          <w:color w:val="000000"/>
          <w:szCs w:val="28"/>
        </w:rPr>
        <w:t>点</w:t>
      </w:r>
      <w:r>
        <w:rPr>
          <w:rFonts w:hint="eastAsia" w:ascii="宋体" w:hAnsi="宋体"/>
          <w:color w:val="000000"/>
          <w:szCs w:val="28"/>
        </w:rPr>
        <w:t>：同提交竞选文件地点。</w:t>
      </w:r>
    </w:p>
    <w:p>
      <w:pPr>
        <w:pStyle w:val="5"/>
        <w:spacing w:before="0" w:after="0" w:line="360" w:lineRule="auto"/>
        <w:rPr>
          <w:rFonts w:ascii="宋体" w:hAnsi="宋体"/>
          <w:color w:val="000000"/>
          <w:sz w:val="28"/>
          <w:szCs w:val="28"/>
        </w:rPr>
      </w:pPr>
      <w:bookmarkStart w:id="35" w:name="_Toc13654"/>
      <w:bookmarkStart w:id="36" w:name="_Toc13442"/>
      <w:r>
        <w:rPr>
          <w:rFonts w:hint="eastAsia" w:ascii="宋体" w:hAnsi="宋体"/>
          <w:color w:val="000000"/>
          <w:sz w:val="28"/>
          <w:szCs w:val="28"/>
        </w:rPr>
        <w:t>五、保证金</w:t>
      </w:r>
      <w:bookmarkEnd w:id="34"/>
      <w:bookmarkEnd w:id="35"/>
      <w:bookmarkEnd w:id="36"/>
    </w:p>
    <w:p>
      <w:pPr>
        <w:snapToGrid w:val="0"/>
        <w:spacing w:line="360" w:lineRule="auto"/>
        <w:ind w:firstLine="560" w:firstLineChars="200"/>
        <w:rPr>
          <w:rFonts w:ascii="宋体" w:hAnsi="宋体"/>
          <w:color w:val="000000"/>
          <w:szCs w:val="28"/>
        </w:rPr>
      </w:pPr>
      <w:r>
        <w:rPr>
          <w:rFonts w:hint="eastAsia" w:ascii="宋体" w:hAnsi="宋体"/>
          <w:color w:val="000000"/>
          <w:szCs w:val="28"/>
        </w:rPr>
        <w:t>（一）保证金递交</w:t>
      </w:r>
    </w:p>
    <w:p>
      <w:pPr>
        <w:snapToGrid w:val="0"/>
        <w:spacing w:line="360" w:lineRule="auto"/>
        <w:ind w:firstLine="560" w:firstLineChars="200"/>
        <w:rPr>
          <w:rFonts w:ascii="宋体" w:hAnsi="宋体"/>
          <w:color w:val="000000"/>
          <w:szCs w:val="28"/>
        </w:rPr>
      </w:pPr>
      <w:r>
        <w:rPr>
          <w:rFonts w:hint="eastAsia" w:ascii="宋体" w:hAnsi="宋体"/>
          <w:color w:val="000000"/>
          <w:szCs w:val="28"/>
        </w:rPr>
        <w:t>竞选人须按本项目规定的比选保证金金额进行缴纳（</w:t>
      </w:r>
      <w:r>
        <w:rPr>
          <w:rFonts w:hint="eastAsia" w:ascii="宋体" w:hAnsi="宋体"/>
          <w:b/>
          <w:color w:val="000000"/>
          <w:szCs w:val="28"/>
        </w:rPr>
        <w:t>保证金金额详见本篇，一、竞争性比选内容</w:t>
      </w:r>
      <w:r>
        <w:rPr>
          <w:rFonts w:hint="eastAsia" w:ascii="宋体" w:hAnsi="宋体"/>
          <w:color w:val="000000"/>
          <w:szCs w:val="28"/>
        </w:rPr>
        <w:t>），由竞选人从其基本账户将比选保证金汇至以下账户（</w:t>
      </w:r>
      <w:r>
        <w:rPr>
          <w:rFonts w:hint="eastAsia" w:ascii="宋体" w:hAnsi="宋体"/>
          <w:b/>
          <w:color w:val="000000"/>
          <w:szCs w:val="28"/>
        </w:rPr>
        <w:t>备注项目名称或项目编号+保证金</w:t>
      </w:r>
      <w:r>
        <w:rPr>
          <w:rFonts w:hint="eastAsia" w:ascii="宋体" w:hAnsi="宋体"/>
          <w:color w:val="000000"/>
          <w:szCs w:val="28"/>
        </w:rPr>
        <w:t>），比选保证金的到账截止时间为评选前一天17:00时。</w:t>
      </w:r>
    </w:p>
    <w:p>
      <w:pPr>
        <w:spacing w:line="360" w:lineRule="auto"/>
        <w:ind w:firstLine="560" w:firstLineChars="200"/>
        <w:rPr>
          <w:rFonts w:ascii="宋体" w:hAnsi="宋体"/>
          <w:color w:val="000000"/>
          <w:szCs w:val="28"/>
        </w:rPr>
      </w:pPr>
      <w:r>
        <w:rPr>
          <w:rFonts w:hint="eastAsia" w:ascii="宋体" w:hAnsi="宋体"/>
          <w:color w:val="000000"/>
          <w:szCs w:val="28"/>
        </w:rPr>
        <w:t>保证金账户：</w:t>
      </w:r>
    </w:p>
    <w:p>
      <w:pPr>
        <w:spacing w:line="360" w:lineRule="auto"/>
        <w:ind w:firstLine="560" w:firstLineChars="200"/>
        <w:rPr>
          <w:rFonts w:ascii="宋体" w:hAnsi="宋体"/>
          <w:color w:val="000000"/>
          <w:szCs w:val="28"/>
        </w:rPr>
      </w:pPr>
      <w:r>
        <w:rPr>
          <w:rFonts w:hint="eastAsia" w:ascii="宋体" w:hAnsi="宋体"/>
          <w:color w:val="000000"/>
          <w:szCs w:val="28"/>
        </w:rPr>
        <w:t>户    名：瀚景项目管理有限公司重庆分公司</w:t>
      </w:r>
    </w:p>
    <w:p>
      <w:pPr>
        <w:spacing w:line="360" w:lineRule="auto"/>
        <w:ind w:firstLine="560" w:firstLineChars="200"/>
        <w:rPr>
          <w:rFonts w:ascii="宋体" w:hAnsi="宋体"/>
          <w:color w:val="000000"/>
          <w:szCs w:val="28"/>
        </w:rPr>
      </w:pPr>
      <w:r>
        <w:rPr>
          <w:rFonts w:hint="eastAsia" w:ascii="宋体" w:hAnsi="宋体"/>
          <w:color w:val="000000"/>
          <w:szCs w:val="28"/>
        </w:rPr>
        <w:t>账    号：123908446310202</w:t>
      </w:r>
    </w:p>
    <w:p>
      <w:pPr>
        <w:spacing w:line="360" w:lineRule="auto"/>
        <w:ind w:firstLine="560" w:firstLineChars="200"/>
        <w:rPr>
          <w:rFonts w:ascii="宋体" w:hAnsi="宋体"/>
          <w:color w:val="000000"/>
          <w:szCs w:val="28"/>
        </w:rPr>
      </w:pPr>
      <w:r>
        <w:rPr>
          <w:rFonts w:hint="eastAsia" w:ascii="宋体" w:hAnsi="宋体"/>
          <w:color w:val="000000"/>
          <w:szCs w:val="28"/>
        </w:rPr>
        <w:t>开户银行：招商银行股份有限公司重庆大学城支行</w:t>
      </w:r>
    </w:p>
    <w:p>
      <w:pPr>
        <w:snapToGrid w:val="0"/>
        <w:spacing w:line="360" w:lineRule="auto"/>
        <w:ind w:firstLine="562" w:firstLineChars="200"/>
        <w:rPr>
          <w:rFonts w:ascii="宋体" w:hAnsi="宋体"/>
          <w:b/>
          <w:color w:val="000000"/>
          <w:szCs w:val="28"/>
        </w:rPr>
      </w:pPr>
      <w:r>
        <w:rPr>
          <w:rFonts w:hint="eastAsia" w:ascii="宋体" w:hAnsi="宋体"/>
          <w:b/>
          <w:color w:val="000000"/>
          <w:szCs w:val="28"/>
        </w:rPr>
        <w:t>特别说明：</w:t>
      </w:r>
    </w:p>
    <w:p>
      <w:pPr>
        <w:snapToGrid w:val="0"/>
        <w:spacing w:line="360" w:lineRule="auto"/>
        <w:ind w:firstLine="560" w:firstLineChars="200"/>
        <w:rPr>
          <w:rFonts w:ascii="宋体" w:hAnsi="宋体"/>
          <w:color w:val="000000"/>
          <w:szCs w:val="28"/>
        </w:rPr>
      </w:pPr>
      <w:r>
        <w:rPr>
          <w:rFonts w:hint="eastAsia" w:ascii="宋体" w:hAnsi="宋体"/>
          <w:color w:val="000000"/>
          <w:szCs w:val="28"/>
        </w:rPr>
        <w:t>1.各竞选人在银行转账（电汇）时，须充分考虑银行转账（电汇）的时间差风险，如同城转账、异地转账或汇款、跨行转账或电汇的时间要求。</w:t>
      </w:r>
    </w:p>
    <w:p>
      <w:pPr>
        <w:snapToGrid w:val="0"/>
        <w:spacing w:line="360" w:lineRule="auto"/>
        <w:ind w:firstLine="56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各</w:t>
      </w:r>
      <w:r>
        <w:rPr>
          <w:rFonts w:hint="eastAsia" w:ascii="宋体" w:hAnsi="宋体"/>
          <w:color w:val="000000"/>
          <w:szCs w:val="28"/>
        </w:rPr>
        <w:t>竞选人</w:t>
      </w:r>
      <w:r>
        <w:rPr>
          <w:rFonts w:ascii="宋体" w:hAnsi="宋体"/>
          <w:color w:val="000000"/>
          <w:szCs w:val="28"/>
        </w:rPr>
        <w:t>在递交</w:t>
      </w:r>
      <w:r>
        <w:rPr>
          <w:rFonts w:hint="eastAsia" w:ascii="宋体" w:hAnsi="宋体"/>
          <w:color w:val="000000"/>
          <w:szCs w:val="28"/>
        </w:rPr>
        <w:t>比选</w:t>
      </w:r>
      <w:r>
        <w:rPr>
          <w:rFonts w:ascii="宋体" w:hAnsi="宋体"/>
          <w:color w:val="000000"/>
          <w:szCs w:val="28"/>
        </w:rPr>
        <w:t>保证金时，到款账户为上述指定的</w:t>
      </w:r>
      <w:r>
        <w:rPr>
          <w:rFonts w:hint="eastAsia" w:ascii="宋体" w:hAnsi="宋体"/>
          <w:color w:val="000000"/>
          <w:szCs w:val="28"/>
        </w:rPr>
        <w:t>比选</w:t>
      </w:r>
      <w:r>
        <w:rPr>
          <w:rFonts w:ascii="宋体" w:hAnsi="宋体"/>
          <w:color w:val="000000"/>
          <w:szCs w:val="28"/>
        </w:rPr>
        <w:t>保证金专用账户，来款账户必须为本公司基本账户</w:t>
      </w:r>
      <w:r>
        <w:rPr>
          <w:rFonts w:hint="eastAsia" w:ascii="宋体" w:hAnsi="宋体"/>
          <w:color w:val="000000"/>
          <w:szCs w:val="28"/>
        </w:rPr>
        <w:t>。</w:t>
      </w:r>
    </w:p>
    <w:p>
      <w:pPr>
        <w:snapToGrid w:val="0"/>
        <w:spacing w:line="360" w:lineRule="auto"/>
        <w:ind w:firstLine="560" w:firstLineChars="200"/>
        <w:rPr>
          <w:rFonts w:ascii="宋体" w:hAnsi="宋体"/>
          <w:color w:val="000000"/>
          <w:szCs w:val="28"/>
        </w:rPr>
      </w:pPr>
      <w:r>
        <w:rPr>
          <w:rFonts w:hint="eastAsia" w:ascii="宋体" w:hAnsi="宋体"/>
          <w:color w:val="000000"/>
          <w:szCs w:val="28"/>
        </w:rPr>
        <w:t>3.转账时请备注</w:t>
      </w:r>
      <w:r>
        <w:rPr>
          <w:rFonts w:hint="eastAsia" w:ascii="宋体" w:hAnsi="宋体"/>
          <w:b/>
          <w:bCs/>
          <w:color w:val="000000"/>
          <w:szCs w:val="28"/>
          <w:u w:val="single"/>
        </w:rPr>
        <w:t>项目名称或项目编号+保证金</w:t>
      </w:r>
      <w:r>
        <w:rPr>
          <w:rFonts w:hint="eastAsia" w:ascii="宋体" w:hAnsi="宋体"/>
          <w:color w:val="000000"/>
          <w:szCs w:val="28"/>
        </w:rPr>
        <w:t>类似字样，未按要求进行备注造成保证金无法顺利识别的，视作未递交保证金处理，其竞选文件资格性评审不合格</w:t>
      </w:r>
      <w:r>
        <w:rPr>
          <w:rFonts w:ascii="宋体" w:hAnsi="宋体"/>
          <w:color w:val="000000"/>
          <w:szCs w:val="28"/>
        </w:rPr>
        <w:t>。</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（二）保证金退还方式</w:t>
      </w:r>
    </w:p>
    <w:p>
      <w:pPr>
        <w:snapToGrid w:val="0"/>
        <w:spacing w:line="360" w:lineRule="auto"/>
        <w:ind w:firstLine="560" w:firstLineChars="200"/>
        <w:rPr>
          <w:rFonts w:ascii="宋体" w:hAnsi="宋体"/>
          <w:color w:val="000000"/>
          <w:szCs w:val="28"/>
        </w:rPr>
      </w:pPr>
      <w:r>
        <w:rPr>
          <w:rFonts w:hint="eastAsia" w:ascii="宋体" w:hAnsi="宋体"/>
          <w:color w:val="000000"/>
          <w:szCs w:val="28"/>
        </w:rPr>
        <w:t>1.未中选人的比选保证金，在中选通知书发放后，在五个工作日内按来款渠道直接退还。</w:t>
      </w:r>
    </w:p>
    <w:p>
      <w:pPr>
        <w:snapToGrid w:val="0"/>
        <w:spacing w:line="360" w:lineRule="auto"/>
        <w:ind w:firstLine="560" w:firstLineChars="200"/>
        <w:rPr>
          <w:rFonts w:ascii="宋体" w:hAnsi="宋体"/>
          <w:color w:val="000000"/>
          <w:szCs w:val="28"/>
        </w:rPr>
      </w:pPr>
      <w:r>
        <w:rPr>
          <w:rFonts w:hint="eastAsia" w:ascii="宋体" w:hAnsi="宋体"/>
          <w:color w:val="000000"/>
          <w:szCs w:val="28"/>
        </w:rPr>
        <w:t>2.中选人的比选保证金，在中选人与比选人签订合同后，在五个工作日内按资金来款渠道直接退还。</w:t>
      </w:r>
    </w:p>
    <w:p>
      <w:pPr>
        <w:pStyle w:val="5"/>
        <w:spacing w:before="0" w:after="0" w:line="360" w:lineRule="auto"/>
        <w:rPr>
          <w:rFonts w:ascii="宋体" w:hAnsi="宋体"/>
          <w:color w:val="000000"/>
          <w:sz w:val="28"/>
          <w:szCs w:val="28"/>
        </w:rPr>
      </w:pPr>
      <w:bookmarkStart w:id="37" w:name="_Toc26827"/>
      <w:bookmarkStart w:id="38" w:name="_Toc21765"/>
      <w:r>
        <w:rPr>
          <w:rFonts w:hint="eastAsia" w:ascii="宋体" w:hAnsi="宋体"/>
          <w:color w:val="000000"/>
          <w:sz w:val="28"/>
          <w:szCs w:val="28"/>
        </w:rPr>
        <w:t>六、</w:t>
      </w:r>
      <w:bookmarkEnd w:id="29"/>
      <w:r>
        <w:rPr>
          <w:rFonts w:hint="eastAsia" w:ascii="宋体" w:hAnsi="宋体"/>
          <w:color w:val="000000"/>
          <w:sz w:val="28"/>
          <w:szCs w:val="28"/>
        </w:rPr>
        <w:t>其它有关规定</w:t>
      </w:r>
      <w:bookmarkEnd w:id="37"/>
      <w:bookmarkEnd w:id="38"/>
    </w:p>
    <w:p>
      <w:pPr>
        <w:snapToGrid w:val="0"/>
        <w:spacing w:line="360" w:lineRule="auto"/>
        <w:ind w:firstLine="560" w:firstLineChars="200"/>
        <w:rPr>
          <w:rFonts w:ascii="宋体" w:hAnsi="宋体"/>
          <w:color w:val="000000"/>
          <w:szCs w:val="28"/>
        </w:rPr>
      </w:pPr>
      <w:r>
        <w:rPr>
          <w:rFonts w:hint="eastAsia" w:ascii="宋体" w:hAnsi="宋体"/>
          <w:color w:val="000000"/>
          <w:szCs w:val="28"/>
        </w:rPr>
        <w:t>（一）单位负责人为同一人或者存在直接控股、管理关系的不同竞选人，不得参加同一合同项（分包）下的比选，否则均为无效比选。</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（二）为比选项目提供整体设计、规范编制或者项目管理、监理、检测等服务的竞选人，不得再参加本项目的比选，否则均为无效响应。</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三）本项目在竞选文件提交截止时间前发布的竞争性比选文件及补遗文件（如果有）一律在“重庆市统计局”官方网站（http://tjj.cq.gov.cn/）上发布，请各竞选人注意下载；无论竞选人下载与否，均视同竞选人已知晓本项目竞争性比选文件、补遗文件（如果有）的内容。</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（四）超过竞选文件截止时间递交的竞选文件，恕不接收。</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（五）比选费用：无论比选结果如何，竞选人参与本项目比选的所有费用均应由竞选人自行承担。</w:t>
      </w:r>
    </w:p>
    <w:p>
      <w:pPr>
        <w:snapToGrid w:val="0"/>
        <w:spacing w:line="360" w:lineRule="auto"/>
        <w:ind w:firstLine="562" w:firstLineChars="200"/>
        <w:rPr>
          <w:b/>
          <w:color w:val="000000"/>
          <w:szCs w:val="28"/>
        </w:rPr>
      </w:pPr>
      <w:r>
        <w:rPr>
          <w:rFonts w:hint="eastAsia" w:hAnsi="宋体"/>
          <w:b/>
          <w:color w:val="000000"/>
          <w:szCs w:val="28"/>
        </w:rPr>
        <w:t>（</w:t>
      </w:r>
      <w:r>
        <w:rPr>
          <w:rFonts w:hAnsi="宋体"/>
          <w:b/>
          <w:color w:val="000000"/>
          <w:szCs w:val="28"/>
        </w:rPr>
        <w:t>六）本项目不接受联合体参与</w:t>
      </w:r>
      <w:r>
        <w:rPr>
          <w:rFonts w:hint="eastAsia" w:hAnsi="宋体"/>
          <w:b/>
          <w:color w:val="000000"/>
          <w:szCs w:val="28"/>
        </w:rPr>
        <w:t>比选</w:t>
      </w:r>
      <w:r>
        <w:rPr>
          <w:rFonts w:hAnsi="宋体"/>
          <w:b/>
          <w:color w:val="000000"/>
          <w:szCs w:val="28"/>
        </w:rPr>
        <w:t>。</w:t>
      </w:r>
    </w:p>
    <w:p>
      <w:pPr>
        <w:snapToGrid w:val="0"/>
        <w:spacing w:line="360" w:lineRule="auto"/>
        <w:ind w:firstLine="560" w:firstLineChars="200"/>
        <w:rPr>
          <w:color w:val="000000"/>
          <w:szCs w:val="28"/>
        </w:rPr>
      </w:pPr>
      <w:r>
        <w:rPr>
          <w:rFonts w:hAnsi="宋体"/>
          <w:color w:val="000000"/>
          <w:szCs w:val="28"/>
        </w:rPr>
        <w:t>（七）</w:t>
      </w:r>
      <w:r>
        <w:rPr>
          <w:rFonts w:hint="eastAsia" w:hAnsi="宋体"/>
          <w:color w:val="000000"/>
          <w:szCs w:val="28"/>
        </w:rPr>
        <w:t>竞选人</w:t>
      </w:r>
      <w:r>
        <w:rPr>
          <w:rFonts w:hAnsi="宋体"/>
          <w:color w:val="000000"/>
          <w:szCs w:val="28"/>
        </w:rPr>
        <w:t>列入失信被执行人、重大税收违法案件当事人名单、政府采购严重违法失信行为记录名单及其他不符合</w:t>
      </w:r>
      <w:r>
        <w:rPr>
          <w:rFonts w:hint="eastAsia" w:hAnsi="宋体"/>
          <w:color w:val="000000"/>
          <w:szCs w:val="28"/>
        </w:rPr>
        <w:t>相关法律法规</w:t>
      </w:r>
      <w:r>
        <w:rPr>
          <w:rFonts w:hAnsi="宋体"/>
          <w:color w:val="000000"/>
          <w:szCs w:val="28"/>
        </w:rPr>
        <w:t>的</w:t>
      </w:r>
      <w:r>
        <w:rPr>
          <w:rFonts w:hint="eastAsia" w:ascii="宋体" w:hAnsi="宋体"/>
          <w:color w:val="000000"/>
          <w:szCs w:val="28"/>
        </w:rPr>
        <w:t>竞选人</w:t>
      </w:r>
      <w:r>
        <w:rPr>
          <w:rFonts w:hAnsi="宋体"/>
          <w:color w:val="000000"/>
          <w:szCs w:val="28"/>
        </w:rPr>
        <w:t>，将拒绝其参与</w:t>
      </w:r>
      <w:r>
        <w:rPr>
          <w:rFonts w:hint="eastAsia" w:hAnsi="宋体"/>
          <w:color w:val="000000"/>
          <w:szCs w:val="28"/>
        </w:rPr>
        <w:t>比选</w:t>
      </w:r>
      <w:r>
        <w:rPr>
          <w:rFonts w:hAnsi="宋体"/>
          <w:color w:val="000000"/>
          <w:szCs w:val="28"/>
        </w:rPr>
        <w:t>。</w:t>
      </w:r>
    </w:p>
    <w:p>
      <w:pPr>
        <w:pStyle w:val="5"/>
        <w:spacing w:before="0" w:after="0" w:line="360" w:lineRule="auto"/>
        <w:rPr>
          <w:rFonts w:ascii="宋体" w:hAnsi="宋体"/>
          <w:color w:val="000000"/>
          <w:sz w:val="28"/>
          <w:szCs w:val="28"/>
        </w:rPr>
      </w:pPr>
      <w:bookmarkStart w:id="39" w:name="_Toc32064"/>
      <w:bookmarkStart w:id="40" w:name="_Toc16500"/>
      <w:r>
        <w:rPr>
          <w:rFonts w:hint="eastAsia" w:ascii="宋体" w:hAnsi="宋体"/>
          <w:color w:val="000000"/>
          <w:sz w:val="28"/>
          <w:szCs w:val="28"/>
        </w:rPr>
        <w:t>七、联系方式</w:t>
      </w:r>
      <w:bookmarkEnd w:id="39"/>
      <w:bookmarkEnd w:id="40"/>
    </w:p>
    <w:p>
      <w:pPr>
        <w:snapToGrid w:val="0"/>
        <w:spacing w:line="360" w:lineRule="auto"/>
        <w:ind w:firstLine="560" w:firstLineChars="200"/>
        <w:rPr>
          <w:rFonts w:ascii="宋体" w:hAnsi="宋体"/>
          <w:color w:val="000000"/>
          <w:szCs w:val="28"/>
        </w:rPr>
      </w:pPr>
      <w:r>
        <w:rPr>
          <w:rFonts w:hint="eastAsia" w:ascii="宋体" w:hAnsi="宋体"/>
          <w:color w:val="000000"/>
          <w:szCs w:val="28"/>
        </w:rPr>
        <w:t>（一）比选代理机构：瀚景项目管理有限公司重庆分公司</w:t>
      </w:r>
    </w:p>
    <w:p>
      <w:pPr>
        <w:snapToGrid w:val="0"/>
        <w:spacing w:line="360" w:lineRule="auto"/>
        <w:ind w:firstLine="560" w:firstLineChars="200"/>
        <w:rPr>
          <w:rFonts w:ascii="宋体" w:hAnsi="宋体"/>
          <w:color w:val="000000"/>
          <w:szCs w:val="28"/>
        </w:rPr>
      </w:pPr>
      <w:r>
        <w:rPr>
          <w:rFonts w:hint="eastAsia" w:ascii="宋体" w:hAnsi="宋体"/>
          <w:color w:val="000000"/>
          <w:szCs w:val="28"/>
        </w:rPr>
        <w:t>联系人：李老师</w:t>
      </w:r>
    </w:p>
    <w:p>
      <w:pPr>
        <w:snapToGrid w:val="0"/>
        <w:spacing w:line="360" w:lineRule="auto"/>
        <w:ind w:firstLine="560" w:firstLineChars="200"/>
        <w:rPr>
          <w:rFonts w:ascii="宋体" w:hAnsi="宋体"/>
          <w:color w:val="000000"/>
          <w:szCs w:val="28"/>
        </w:rPr>
      </w:pPr>
      <w:r>
        <w:rPr>
          <w:rFonts w:hint="eastAsia" w:ascii="宋体" w:hAnsi="宋体"/>
          <w:color w:val="000000"/>
          <w:szCs w:val="28"/>
        </w:rPr>
        <w:t>电  话：（023）63414739</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地  址：重庆市渝北区洪湖西路21号30-1</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(二)比选人：重庆市统计局</w:t>
      </w:r>
    </w:p>
    <w:p>
      <w:pPr>
        <w:snapToGrid w:val="0"/>
        <w:spacing w:line="360" w:lineRule="auto"/>
        <w:ind w:firstLine="560" w:firstLineChars="200"/>
        <w:rPr>
          <w:rFonts w:ascii="宋体" w:hAnsi="宋体"/>
          <w:color w:val="000000"/>
          <w:szCs w:val="28"/>
        </w:rPr>
      </w:pPr>
      <w:r>
        <w:rPr>
          <w:rFonts w:hint="eastAsia" w:ascii="宋体" w:hAnsi="宋体"/>
          <w:color w:val="000000"/>
          <w:szCs w:val="28"/>
        </w:rPr>
        <w:t xml:space="preserve">联系人：唐老师 </w:t>
      </w:r>
    </w:p>
    <w:p>
      <w:pPr>
        <w:snapToGrid w:val="0"/>
        <w:spacing w:line="360" w:lineRule="auto"/>
        <w:ind w:firstLine="560" w:firstLineChars="200"/>
        <w:rPr>
          <w:rFonts w:ascii="宋体" w:hAnsi="宋体"/>
          <w:color w:val="000000"/>
          <w:szCs w:val="28"/>
        </w:rPr>
      </w:pPr>
      <w:r>
        <w:rPr>
          <w:rFonts w:hint="eastAsia" w:ascii="宋体" w:hAnsi="宋体"/>
          <w:color w:val="000000"/>
          <w:szCs w:val="28"/>
        </w:rPr>
        <w:t>电  话：023-</w:t>
      </w:r>
      <w:r>
        <w:rPr>
          <w:rFonts w:ascii="宋体" w:hAnsi="宋体"/>
          <w:color w:val="000000"/>
          <w:szCs w:val="28"/>
        </w:rPr>
        <w:t>67637217</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地  址：重庆市渝北区红锦大道555号美源国际大厦1210室</w:t>
      </w:r>
    </w:p>
    <w:p>
      <w:pPr>
        <w:snapToGrid w:val="0"/>
        <w:spacing w:line="360" w:lineRule="auto"/>
        <w:ind w:firstLine="560" w:firstLineChars="200"/>
        <w:rPr>
          <w:rFonts w:ascii="宋体" w:hAnsi="宋体"/>
          <w:color w:val="000000"/>
          <w:szCs w:val="28"/>
        </w:rPr>
      </w:pPr>
    </w:p>
    <w:p>
      <w:pPr>
        <w:snapToGrid w:val="0"/>
        <w:spacing w:line="360" w:lineRule="auto"/>
        <w:ind w:firstLine="560" w:firstLineChars="200"/>
        <w:rPr>
          <w:rFonts w:ascii="宋体" w:hAnsi="宋体"/>
          <w:color w:val="000000"/>
          <w:szCs w:val="28"/>
        </w:rPr>
        <w:sectPr>
          <w:footerReference r:id="rId8" w:type="default"/>
          <w:pgSz w:w="11907" w:h="16840"/>
          <w:pgMar w:top="1134" w:right="1418" w:bottom="1134" w:left="1418" w:header="964" w:footer="992" w:gutter="0"/>
          <w:pgNumType w:start="1"/>
          <w:cols w:space="720" w:num="1"/>
          <w:docGrid w:linePitch="312" w:charSpace="0"/>
        </w:sectPr>
      </w:pPr>
    </w:p>
    <w:p>
      <w:pPr>
        <w:pStyle w:val="4"/>
        <w:spacing w:before="140" w:after="140" w:line="360" w:lineRule="auto"/>
        <w:jc w:val="center"/>
        <w:rPr>
          <w:rFonts w:ascii="宋体" w:hAnsi="宋体" w:eastAsia="宋体"/>
          <w:color w:val="000000"/>
          <w:sz w:val="36"/>
          <w:szCs w:val="36"/>
        </w:rPr>
      </w:pPr>
      <w:bookmarkStart w:id="41" w:name="_Toc102227313"/>
      <w:bookmarkStart w:id="42" w:name="_Toc26475"/>
      <w:bookmarkStart w:id="43" w:name="_Toc2850"/>
      <w:r>
        <w:rPr>
          <w:rFonts w:hint="eastAsia" w:ascii="宋体" w:hAnsi="宋体" w:eastAsia="宋体"/>
          <w:color w:val="000000"/>
          <w:sz w:val="36"/>
          <w:szCs w:val="36"/>
        </w:rPr>
        <w:t xml:space="preserve">第二篇  </w:t>
      </w:r>
      <w:bookmarkEnd w:id="41"/>
      <w:r>
        <w:rPr>
          <w:rFonts w:hint="eastAsia" w:ascii="宋体" w:hAnsi="宋体" w:eastAsia="宋体"/>
          <w:color w:val="000000"/>
          <w:sz w:val="36"/>
          <w:szCs w:val="36"/>
        </w:rPr>
        <w:t>项目服务需求</w:t>
      </w:r>
      <w:bookmarkEnd w:id="42"/>
      <w:bookmarkEnd w:id="43"/>
    </w:p>
    <w:p>
      <w:pPr>
        <w:pStyle w:val="126"/>
        <w:ind w:left="0" w:leftChars="0" w:firstLine="632"/>
        <w:jc w:val="left"/>
        <w:rPr>
          <w:rFonts w:ascii="宋体" w:hAnsi="宋体"/>
          <w:b/>
          <w:sz w:val="28"/>
          <w:szCs w:val="28"/>
        </w:rPr>
      </w:pPr>
      <w:r>
        <w:rPr>
          <w:rFonts w:hint="eastAsia"/>
          <w:b/>
          <w:sz w:val="28"/>
          <w:szCs w:val="28"/>
        </w:rPr>
        <w:t>备注：★标注条款为实质性要求，作为符合性评审标准。</w:t>
      </w:r>
    </w:p>
    <w:p>
      <w:pPr>
        <w:pStyle w:val="5"/>
        <w:numPr>
          <w:ilvl w:val="0"/>
          <w:numId w:val="2"/>
        </w:numPr>
        <w:spacing w:before="0" w:after="0" w:line="480" w:lineRule="exact"/>
        <w:rPr>
          <w:rFonts w:ascii="宋体" w:hAnsi="宋体"/>
          <w:color w:val="000000"/>
          <w:sz w:val="28"/>
          <w:szCs w:val="28"/>
        </w:rPr>
      </w:pPr>
      <w:bookmarkStart w:id="44" w:name="_Toc22084"/>
      <w:bookmarkStart w:id="45" w:name="_Toc26762"/>
      <w:bookmarkStart w:id="46" w:name="_Toc499304015"/>
      <w:r>
        <w:rPr>
          <w:rFonts w:hint="eastAsia" w:ascii="宋体" w:hAnsi="宋体"/>
          <w:color w:val="000000"/>
          <w:sz w:val="28"/>
          <w:szCs w:val="28"/>
        </w:rPr>
        <w:t>项目一览表</w:t>
      </w:r>
      <w:bookmarkEnd w:id="44"/>
      <w:bookmarkEnd w:id="45"/>
      <w:bookmarkEnd w:id="46"/>
    </w:p>
    <w:tbl>
      <w:tblPr>
        <w:tblStyle w:val="67"/>
        <w:tblW w:w="8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比选内容</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方案编制费计费比例</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比选保证金</w:t>
            </w:r>
          </w:p>
          <w:p>
            <w:pPr>
              <w:widowControl/>
              <w:jc w:val="center"/>
              <w:rPr>
                <w:rFonts w:ascii="宋体" w:hAnsi="宋体"/>
                <w:b/>
                <w:color w:val="000000"/>
                <w:szCs w:val="28"/>
              </w:rPr>
            </w:pPr>
            <w:r>
              <w:rPr>
                <w:rFonts w:hint="eastAsia" w:ascii="宋体" w:hAnsi="宋体"/>
                <w:b/>
                <w:color w:val="000000"/>
                <w:szCs w:val="28"/>
              </w:rPr>
              <w:t>(元)</w:t>
            </w:r>
          </w:p>
        </w:tc>
        <w:tc>
          <w:tcPr>
            <w:tcW w:w="1949"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中选人</w:t>
            </w:r>
          </w:p>
          <w:p>
            <w:pPr>
              <w:jc w:val="center"/>
              <w:rPr>
                <w:rFonts w:ascii="宋体" w:hAnsi="宋体"/>
                <w:b/>
                <w:color w:val="000000"/>
                <w:szCs w:val="28"/>
              </w:rPr>
            </w:pPr>
            <w:r>
              <w:rPr>
                <w:rFonts w:hint="eastAsia" w:ascii="宋体" w:hAnsi="宋体"/>
                <w:b/>
                <w:color w:val="00000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olor w:val="000000"/>
                <w:szCs w:val="28"/>
              </w:rPr>
              <w:t>重庆市统计大数据平台建设项目可行性研究及概算方案编制（代初步设计）及概算方案编制项目</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按照市发展改革委和市财政局最终概算批复的1%计算（最高不超过30万）</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5000</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1名</w:t>
            </w:r>
          </w:p>
        </w:tc>
      </w:tr>
    </w:tbl>
    <w:p/>
    <w:p>
      <w:pPr>
        <w:pStyle w:val="5"/>
        <w:spacing w:before="0" w:after="0" w:line="480" w:lineRule="exact"/>
        <w:rPr>
          <w:rFonts w:ascii="宋体" w:hAnsi="宋体"/>
          <w:color w:val="000000"/>
          <w:sz w:val="28"/>
          <w:szCs w:val="28"/>
        </w:rPr>
      </w:pPr>
      <w:bookmarkStart w:id="47" w:name="_Toc16554"/>
      <w:bookmarkStart w:id="48" w:name="_Toc16349"/>
      <w:r>
        <w:rPr>
          <w:rFonts w:hint="eastAsia" w:ascii="宋体" w:hAnsi="宋体"/>
          <w:color w:val="000000"/>
          <w:sz w:val="28"/>
          <w:szCs w:val="28"/>
        </w:rPr>
        <w:t>二、项目需求</w:t>
      </w:r>
      <w:bookmarkEnd w:id="47"/>
      <w:bookmarkEnd w:id="48"/>
    </w:p>
    <w:p>
      <w:pPr>
        <w:spacing w:line="360" w:lineRule="auto"/>
        <w:ind w:firstLine="560" w:firstLineChars="200"/>
        <w:rPr>
          <w:rFonts w:ascii="宋体" w:hAnsi="宋体"/>
          <w:color w:val="000000"/>
          <w:szCs w:val="28"/>
        </w:rPr>
      </w:pPr>
      <w:r>
        <w:rPr>
          <w:rFonts w:hint="eastAsia" w:ascii="宋体" w:hAnsi="宋体"/>
          <w:color w:val="000000"/>
          <w:szCs w:val="28"/>
        </w:rPr>
        <w:t>（一）重庆市统计大数据平台项目背景</w:t>
      </w:r>
    </w:p>
    <w:p>
      <w:pPr>
        <w:spacing w:line="360" w:lineRule="auto"/>
        <w:ind w:firstLine="560" w:firstLineChars="200"/>
        <w:rPr>
          <w:rFonts w:ascii="宋体" w:hAnsi="宋体"/>
          <w:color w:val="000000"/>
          <w:szCs w:val="28"/>
        </w:rPr>
      </w:pPr>
      <w:r>
        <w:rPr>
          <w:rFonts w:hint="eastAsia" w:ascii="宋体" w:hAnsi="宋体"/>
          <w:color w:val="000000"/>
          <w:szCs w:val="28"/>
        </w:rPr>
        <w:t>重庆市大数据平台是将现有的统计局宏观、微观等各类统计数据资源整合并做业务融合，将互联网数据与统计业务数据相融合。将通过采集互联网数据扩充数据获取手段，利用数据中台将分散的各类数据按照统一标准整合，实现内部全部统计数据资源融合，实现互联网数据与统计数据资源的融合，提供一整套数据挖掘工具，实现融合后数据的分析挖掘，形成各类监测体系用于全市经济的全方面剖析与监测。本项目为新建项目，包含所涉及应用系统开发、软件服务购买、云服务使用和系统集成内容。系统建设周期为三年2021年-2023年，系统建成后将长期承担统计日常工作和后续各类型普查工作，建设信息系统生命周期初步设计为5年。需严格遵照渝大数据函[2020]276号《关于重庆市统计大数据平台建设项目的批复》批复主要建设内容，包括应用系统软件开发、软件购置、集成、工程建设等，保证总体建设内容符合重庆市政务信息化标准流程。</w:t>
      </w:r>
    </w:p>
    <w:p>
      <w:pPr>
        <w:spacing w:line="360" w:lineRule="auto"/>
        <w:ind w:firstLine="560" w:firstLineChars="200"/>
        <w:rPr>
          <w:rFonts w:ascii="宋体" w:hAnsi="宋体"/>
          <w:color w:val="000000"/>
          <w:szCs w:val="28"/>
        </w:rPr>
      </w:pPr>
      <w:r>
        <w:rPr>
          <w:rFonts w:hint="eastAsia" w:ascii="宋体" w:hAnsi="宋体"/>
          <w:color w:val="000000"/>
          <w:szCs w:val="28"/>
        </w:rPr>
        <w:t>★（二）建设内容</w:t>
      </w:r>
    </w:p>
    <w:p>
      <w:pPr>
        <w:spacing w:line="360" w:lineRule="auto"/>
        <w:ind w:firstLine="560" w:firstLineChars="200"/>
        <w:rPr>
          <w:rFonts w:ascii="宋体" w:hAnsi="宋体"/>
          <w:color w:val="000000"/>
          <w:szCs w:val="28"/>
        </w:rPr>
      </w:pPr>
      <w:r>
        <w:rPr>
          <w:rFonts w:hint="eastAsia" w:ascii="宋体" w:hAnsi="宋体"/>
          <w:color w:val="000000"/>
          <w:szCs w:val="28"/>
        </w:rPr>
        <w:t>（1）运用现代信息技术创新生产方式，提高政府统计数据质量和公信力</w:t>
      </w:r>
    </w:p>
    <w:p>
      <w:pPr>
        <w:spacing w:line="360" w:lineRule="auto"/>
        <w:ind w:firstLine="560" w:firstLineChars="200"/>
        <w:rPr>
          <w:rFonts w:ascii="宋体" w:hAnsi="宋体"/>
          <w:color w:val="000000"/>
          <w:szCs w:val="28"/>
        </w:rPr>
      </w:pPr>
      <w:r>
        <w:rPr>
          <w:rFonts w:hint="eastAsia" w:ascii="宋体" w:hAnsi="宋体"/>
          <w:color w:val="000000"/>
          <w:szCs w:val="28"/>
        </w:rPr>
        <w:t>完成《关于同意重庆市统计局开展电子统计台账试点的批复》（国统设管函﹝2020﹞44号）试点要求，进一步规范统计基础建设，建立统一标准、统一规范的企业统计台账，实现统计基础资料的集中化、条理化、系统化管理，方便快速有效监察企业数据；加大基层统计减负力度，提高数据查询、审核效率，提高统计报表填报效率和数据质量，确保统计资料连贯完整，历史数据真实准确，提高统计信息化水平。在2021年到2022期间，本次项目将完成对全市38个行政区、约2万家规上企业的统计电子台账的实施推广工作。</w:t>
      </w:r>
    </w:p>
    <w:p>
      <w:pPr>
        <w:spacing w:line="360" w:lineRule="auto"/>
        <w:ind w:firstLine="560" w:firstLineChars="200"/>
        <w:rPr>
          <w:rFonts w:ascii="宋体" w:hAnsi="宋体"/>
          <w:color w:val="000000"/>
          <w:szCs w:val="28"/>
        </w:rPr>
      </w:pPr>
      <w:r>
        <w:rPr>
          <w:rFonts w:hint="eastAsia" w:ascii="宋体" w:hAnsi="宋体"/>
          <w:color w:val="000000"/>
          <w:szCs w:val="28"/>
        </w:rPr>
        <w:t>以大数据、区块链等现代化技术为统计调查业务赋能，结合覆盖全流程的标准规范，实现统计数据生产各个环节有标准、见人员和留痕迹，从而在根本上提高政府统计数据的质量和公信力。</w:t>
      </w:r>
    </w:p>
    <w:p>
      <w:pPr>
        <w:spacing w:line="360" w:lineRule="auto"/>
        <w:ind w:firstLine="560" w:firstLineChars="200"/>
        <w:rPr>
          <w:rFonts w:ascii="宋体" w:hAnsi="宋体"/>
          <w:color w:val="000000"/>
          <w:szCs w:val="28"/>
        </w:rPr>
      </w:pPr>
      <w:r>
        <w:rPr>
          <w:rFonts w:hint="eastAsia" w:ascii="宋体" w:hAnsi="宋体"/>
          <w:color w:val="000000"/>
          <w:szCs w:val="28"/>
        </w:rPr>
        <w:t>（2）融合多渠道数据资源，提升政务数据效能</w:t>
      </w:r>
    </w:p>
    <w:p>
      <w:pPr>
        <w:spacing w:line="360" w:lineRule="auto"/>
        <w:ind w:firstLine="560" w:firstLineChars="200"/>
        <w:rPr>
          <w:rFonts w:ascii="宋体" w:hAnsi="宋体"/>
          <w:color w:val="000000"/>
          <w:szCs w:val="28"/>
        </w:rPr>
      </w:pPr>
      <w:r>
        <w:rPr>
          <w:rFonts w:hint="eastAsia" w:ascii="宋体" w:hAnsi="宋体"/>
          <w:color w:val="000000"/>
          <w:szCs w:val="28"/>
        </w:rPr>
        <w:t>在全市“四上”企业行业统计一套表、经济、农业和人口大型普查调查原始数据和综合汇总数据库基础上，整合工商局、税务局等市场主体信息，经信委、商委等经济活动信息，教委、卫计委和文化委等社会管理信息，以及公安局、卫计委和人社局等人口家庭信息，融合上市企业数据、世界500强以及中国500强企等互联网数据，最终形成全市统一的经济、社会和人口的宏微观数据仓库，通过统计大数据平台的进行统一的标准化整理、清洗比对、分析挖掘等过程，发现以往单一部门数据所不能发掘的新规律、新现象、新知识，提升各部门的政务数据共享和利用效能。</w:t>
      </w:r>
    </w:p>
    <w:p>
      <w:pPr>
        <w:spacing w:line="360" w:lineRule="auto"/>
        <w:ind w:firstLine="560" w:firstLineChars="200"/>
        <w:rPr>
          <w:rFonts w:ascii="宋体" w:hAnsi="宋体"/>
          <w:color w:val="000000"/>
          <w:szCs w:val="28"/>
        </w:rPr>
      </w:pPr>
      <w:r>
        <w:rPr>
          <w:rFonts w:hint="eastAsia" w:ascii="宋体" w:hAnsi="宋体"/>
          <w:color w:val="000000"/>
          <w:szCs w:val="28"/>
        </w:rPr>
        <w:t>（3）服务政府决策分析，提高政府精细化治理能力</w:t>
      </w:r>
    </w:p>
    <w:p>
      <w:pPr>
        <w:spacing w:line="360" w:lineRule="auto"/>
        <w:ind w:firstLine="560" w:firstLineChars="200"/>
        <w:rPr>
          <w:rFonts w:ascii="宋体" w:hAnsi="宋体"/>
          <w:color w:val="000000"/>
          <w:szCs w:val="28"/>
        </w:rPr>
      </w:pPr>
      <w:r>
        <w:rPr>
          <w:rFonts w:hint="eastAsia" w:ascii="宋体" w:hAnsi="宋体"/>
          <w:color w:val="000000"/>
          <w:szCs w:val="28"/>
        </w:rPr>
        <w:t>依托平台提供的深度挖掘和智能分析功能，以统计局的数据分析队伍为班底引入各部门及社科研究机构的数据分析专家建立大数据实验室，开展数据的深度建模和分析挖掘工作，形成投资、营商环境、人口结构、小区智能化改造、供给侧改革等多主题的经济社会数据分析挖掘模型，输出丰富的可视化分析产品和专业的分析报告，全景式一体化呈现重庆经济社会发展状况。通过平台的一体化展示、小程序发布等渠道向各级党政领导、政府部门、研究机构和社会公众提供“智能、精准”服务，从而更</w:t>
      </w:r>
      <w:r>
        <w:rPr>
          <w:rFonts w:hint="eastAsia" w:ascii="宋体" w:hAnsi="宋体"/>
          <w:color w:val="000000"/>
          <w:szCs w:val="28"/>
          <w:lang w:eastAsia="zh-CN"/>
        </w:rPr>
        <w:t>好地</w:t>
      </w:r>
      <w:r>
        <w:rPr>
          <w:rFonts w:hint="eastAsia" w:ascii="宋体" w:hAnsi="宋体"/>
          <w:color w:val="000000"/>
          <w:szCs w:val="28"/>
        </w:rPr>
        <w:t>为政府各部门宏观经济管理和基于统计数据的精细化社会管理服务。</w:t>
      </w:r>
    </w:p>
    <w:p>
      <w:pPr>
        <w:spacing w:line="360" w:lineRule="auto"/>
        <w:ind w:firstLine="560" w:firstLineChars="200"/>
        <w:rPr>
          <w:rFonts w:ascii="宋体" w:hAnsi="宋体"/>
          <w:color w:val="000000"/>
          <w:szCs w:val="28"/>
        </w:rPr>
      </w:pPr>
      <w:r>
        <w:rPr>
          <w:rFonts w:hint="eastAsia" w:ascii="宋体" w:hAnsi="宋体"/>
          <w:color w:val="000000"/>
          <w:szCs w:val="28"/>
        </w:rPr>
        <w:t>（4）实现全市经济、社会发展运行监测，助力</w:t>
      </w:r>
      <w:bookmarkStart w:id="207" w:name="_GoBack"/>
      <w:bookmarkEnd w:id="207"/>
      <w:r>
        <w:rPr>
          <w:rFonts w:hint="eastAsia" w:ascii="宋体" w:hAnsi="宋体"/>
          <w:color w:val="000000"/>
          <w:szCs w:val="28"/>
        </w:rPr>
        <w:t>全市经济高质量发展</w:t>
      </w:r>
    </w:p>
    <w:p>
      <w:pPr>
        <w:spacing w:line="360" w:lineRule="auto"/>
        <w:ind w:firstLine="560" w:firstLineChars="200"/>
        <w:rPr>
          <w:rFonts w:ascii="宋体" w:hAnsi="宋体"/>
          <w:color w:val="000000"/>
          <w:szCs w:val="28"/>
        </w:rPr>
      </w:pPr>
      <w:r>
        <w:rPr>
          <w:rFonts w:hint="eastAsia" w:ascii="宋体" w:hAnsi="宋体"/>
          <w:color w:val="000000"/>
          <w:szCs w:val="28"/>
        </w:rPr>
        <w:t>结合重庆市产业结构实际情况建立全市经济、社会监测指标体系，包括“成渝地区双城经济圈”、新经济产业等监测体系等全市重点关注专题，利用统计数据智能生产系统收集经济产业运行监测数据，形成各类主题数据库，基于统计数据深度挖掘和智能分析系统建立相关的监测与分析场景，通过大屏幕、PC、小程序等多渠道对监测主要指标数据进行全方位展示，为解决产业上下游堵点、实现全市经济产业高效发展提供有效的数据支撑与辅助决策支持。</w:t>
      </w:r>
    </w:p>
    <w:p>
      <w:pPr>
        <w:spacing w:line="360" w:lineRule="auto"/>
        <w:ind w:firstLine="560" w:firstLineChars="200"/>
        <w:rPr>
          <w:rFonts w:ascii="宋体" w:hAnsi="宋体"/>
          <w:color w:val="000000"/>
          <w:szCs w:val="28"/>
        </w:rPr>
      </w:pPr>
      <w:r>
        <w:rPr>
          <w:rFonts w:hint="eastAsia" w:ascii="宋体" w:hAnsi="宋体"/>
          <w:color w:val="000000"/>
          <w:szCs w:val="28"/>
        </w:rPr>
        <w:t>同时本次建设的统计大数据平台也是承载重庆市共享交换平台与统计局内部系统的信息交换功能，以及与四川省统计局的信息交换。</w:t>
      </w:r>
    </w:p>
    <w:p>
      <w:pPr>
        <w:spacing w:line="360" w:lineRule="auto"/>
        <w:ind w:firstLine="560" w:firstLineChars="200"/>
        <w:rPr>
          <w:rFonts w:ascii="宋体" w:hAnsi="宋体"/>
          <w:color w:val="000000"/>
          <w:szCs w:val="28"/>
        </w:rPr>
      </w:pPr>
      <w:r>
        <w:rPr>
          <w:rFonts w:hint="eastAsia" w:ascii="宋体" w:hAnsi="宋体"/>
          <w:color w:val="000000"/>
          <w:szCs w:val="28"/>
        </w:rPr>
        <w:t>★（三）服务内容</w:t>
      </w:r>
    </w:p>
    <w:p>
      <w:pPr>
        <w:spacing w:line="360" w:lineRule="auto"/>
        <w:ind w:firstLine="560" w:firstLineChars="200"/>
        <w:rPr>
          <w:rFonts w:ascii="宋体" w:hAnsi="宋体"/>
          <w:color w:val="000000"/>
          <w:szCs w:val="28"/>
        </w:rPr>
      </w:pPr>
      <w:r>
        <w:rPr>
          <w:rFonts w:hint="eastAsia" w:ascii="宋体" w:hAnsi="宋体"/>
          <w:color w:val="000000"/>
          <w:szCs w:val="28"/>
        </w:rPr>
        <w:t>完成项目方案设计和投资概预算编制（代初步设计），设计深度必须满足重庆市大数据平台建设项目各项建设内容的实现，支撑项目招投标，符合招标人要求，保障建设招标等工作的顺利开展。</w:t>
      </w:r>
    </w:p>
    <w:p>
      <w:pPr>
        <w:pStyle w:val="5"/>
        <w:spacing w:before="0" w:after="0" w:line="360" w:lineRule="auto"/>
        <w:rPr>
          <w:rFonts w:ascii="宋体" w:hAnsi="宋体"/>
          <w:color w:val="000000"/>
          <w:sz w:val="28"/>
          <w:szCs w:val="28"/>
        </w:rPr>
      </w:pPr>
      <w:bookmarkStart w:id="49" w:name="_Toc26138"/>
      <w:bookmarkStart w:id="50" w:name="_Toc11569"/>
      <w:bookmarkStart w:id="51" w:name="_Toc12789058"/>
      <w:r>
        <w:rPr>
          <w:rFonts w:hint="eastAsia" w:ascii="宋体" w:hAnsi="宋体"/>
          <w:color w:val="000000"/>
          <w:sz w:val="28"/>
          <w:szCs w:val="28"/>
        </w:rPr>
        <w:t>★三、设计成果</w:t>
      </w:r>
      <w:r>
        <w:rPr>
          <w:rFonts w:ascii="宋体" w:hAnsi="宋体"/>
          <w:color w:val="000000"/>
          <w:sz w:val="28"/>
          <w:szCs w:val="28"/>
        </w:rPr>
        <w:t>提交</w:t>
      </w:r>
      <w:r>
        <w:rPr>
          <w:rFonts w:hint="eastAsia" w:ascii="宋体" w:hAnsi="宋体"/>
          <w:color w:val="000000"/>
          <w:sz w:val="28"/>
          <w:szCs w:val="28"/>
        </w:rPr>
        <w:t>要求</w:t>
      </w:r>
      <w:bookmarkEnd w:id="49"/>
      <w:bookmarkEnd w:id="50"/>
    </w:p>
    <w:p>
      <w:pPr>
        <w:spacing w:line="360" w:lineRule="auto"/>
        <w:ind w:firstLine="560" w:firstLineChars="200"/>
        <w:rPr>
          <w:rFonts w:ascii="宋体" w:hAnsi="宋体"/>
          <w:color w:val="000000"/>
          <w:szCs w:val="28"/>
        </w:rPr>
      </w:pPr>
      <w:r>
        <w:rPr>
          <w:rFonts w:hint="eastAsia" w:ascii="宋体" w:hAnsi="宋体"/>
          <w:color w:val="000000"/>
          <w:szCs w:val="28"/>
        </w:rPr>
        <w:t>1．提交方式：方案设计交付设计文档，投资概预算清单、方案及清单一式6份，其中纸质件5份、电子档1份。</w:t>
      </w:r>
    </w:p>
    <w:p>
      <w:pPr>
        <w:spacing w:line="360" w:lineRule="auto"/>
        <w:ind w:firstLine="560" w:firstLineChars="200"/>
        <w:rPr>
          <w:rFonts w:ascii="宋体" w:hAnsi="宋体"/>
          <w:color w:val="000000"/>
          <w:szCs w:val="28"/>
        </w:rPr>
      </w:pPr>
      <w:r>
        <w:rPr>
          <w:rFonts w:hint="eastAsia" w:ascii="宋体" w:hAnsi="宋体"/>
          <w:color w:val="000000"/>
          <w:szCs w:val="28"/>
        </w:rPr>
        <w:t>2.成果提交：合同签订后设计期30个日历日，从签订合同起到设计方案完成，包括调研、专家论证等所有环节。成交供应商按采购人需求分别提交设计文本；如果采购人提出修改意见，成交供应商按照采购人要求在5个日历里内调整设计文本并提交采购人审核。最后经采购人审定，提交正式成果文件，经采购人报送市发改委和市财政局，并通过市发展改革委和市财政局批复。</w:t>
      </w:r>
    </w:p>
    <w:p>
      <w:pPr>
        <w:pStyle w:val="2"/>
      </w:pPr>
      <w:r>
        <w:rPr>
          <w:rFonts w:hint="eastAsia"/>
        </w:rPr>
        <w:t xml:space="preserve">    </w:t>
      </w:r>
    </w:p>
    <w:p>
      <w:pPr>
        <w:spacing w:line="360" w:lineRule="auto"/>
        <w:ind w:firstLine="560" w:firstLineChars="200"/>
        <w:outlineLvl w:val="1"/>
        <w:rPr>
          <w:rFonts w:ascii="宋体" w:hAnsi="宋体"/>
          <w:color w:val="000000"/>
          <w:szCs w:val="28"/>
        </w:rPr>
      </w:pPr>
      <w:r>
        <w:rPr>
          <w:rFonts w:hint="eastAsia" w:ascii="宋体" w:hAnsi="宋体"/>
          <w:color w:val="000000"/>
          <w:szCs w:val="28"/>
        </w:rPr>
        <w:t xml:space="preserve">  </w:t>
      </w:r>
      <w:bookmarkStart w:id="52" w:name="_Toc23547"/>
    </w:p>
    <w:p>
      <w:pPr>
        <w:spacing w:line="360" w:lineRule="auto"/>
        <w:ind w:firstLine="643" w:firstLineChars="200"/>
        <w:outlineLvl w:val="1"/>
        <w:rPr>
          <w:rStyle w:val="224"/>
        </w:rPr>
      </w:pPr>
    </w:p>
    <w:p>
      <w:pPr>
        <w:spacing w:line="360" w:lineRule="auto"/>
        <w:ind w:firstLine="723" w:firstLineChars="200"/>
        <w:jc w:val="center"/>
        <w:outlineLvl w:val="1"/>
        <w:rPr>
          <w:rStyle w:val="224"/>
          <w:rFonts w:ascii="宋体" w:hAnsi="宋体" w:eastAsia="宋体" w:cs="宋体"/>
          <w:sz w:val="36"/>
          <w:szCs w:val="21"/>
        </w:rPr>
      </w:pPr>
      <w:bookmarkStart w:id="53" w:name="_Toc30490"/>
      <w:r>
        <w:rPr>
          <w:rStyle w:val="224"/>
          <w:rFonts w:hint="eastAsia" w:ascii="宋体" w:hAnsi="宋体" w:eastAsia="宋体" w:cs="宋体"/>
          <w:sz w:val="36"/>
          <w:szCs w:val="21"/>
        </w:rPr>
        <w:t>第三篇  项目商务</w:t>
      </w:r>
      <w:bookmarkEnd w:id="51"/>
      <w:r>
        <w:rPr>
          <w:rStyle w:val="224"/>
          <w:rFonts w:hint="eastAsia" w:ascii="宋体" w:hAnsi="宋体" w:eastAsia="宋体" w:cs="宋体"/>
          <w:sz w:val="36"/>
          <w:szCs w:val="21"/>
        </w:rPr>
        <w:t>要求</w:t>
      </w:r>
      <w:bookmarkEnd w:id="52"/>
      <w:bookmarkEnd w:id="53"/>
    </w:p>
    <w:p>
      <w:pPr>
        <w:pStyle w:val="126"/>
        <w:ind w:left="0" w:leftChars="0" w:firstLine="632"/>
        <w:rPr>
          <w:rFonts w:ascii="宋体" w:hAnsi="宋体"/>
          <w:szCs w:val="28"/>
        </w:rPr>
      </w:pPr>
      <w:r>
        <w:rPr>
          <w:rFonts w:hint="eastAsia"/>
          <w:b/>
          <w:sz w:val="28"/>
          <w:szCs w:val="28"/>
        </w:rPr>
        <w:t>备注：★标注条款为实质性要求，作为符合性评审标准。</w:t>
      </w:r>
      <w:bookmarkStart w:id="54" w:name="_Toc12789059"/>
      <w:bookmarkStart w:id="55" w:name="_Toc11641055"/>
    </w:p>
    <w:p>
      <w:pPr>
        <w:pStyle w:val="5"/>
        <w:spacing w:before="0" w:after="0" w:line="360" w:lineRule="auto"/>
        <w:rPr>
          <w:bCs/>
          <w:sz w:val="28"/>
          <w:szCs w:val="28"/>
          <w:lang w:val="zh-CN"/>
        </w:rPr>
      </w:pPr>
      <w:bookmarkStart w:id="56" w:name="_Toc267320049"/>
      <w:bookmarkStart w:id="57" w:name="_Toc51154114"/>
      <w:bookmarkStart w:id="58" w:name="_Toc31225"/>
      <w:bookmarkStart w:id="59" w:name="_Toc24659"/>
      <w:r>
        <w:rPr>
          <w:rFonts w:hint="eastAsia"/>
          <w:sz w:val="28"/>
          <w:szCs w:val="28"/>
        </w:rPr>
        <w:t>★</w:t>
      </w:r>
      <w:r>
        <w:rPr>
          <w:rFonts w:hint="eastAsia"/>
          <w:bCs/>
          <w:sz w:val="28"/>
          <w:szCs w:val="28"/>
          <w:lang w:val="zh-CN"/>
        </w:rPr>
        <w:t>一、服务期、服务地点及验收方式</w:t>
      </w:r>
      <w:bookmarkEnd w:id="56"/>
      <w:bookmarkEnd w:id="57"/>
      <w:bookmarkEnd w:id="58"/>
      <w:bookmarkEnd w:id="59"/>
    </w:p>
    <w:p>
      <w:pPr>
        <w:spacing w:line="360" w:lineRule="auto"/>
        <w:ind w:firstLine="560" w:firstLineChars="200"/>
        <w:rPr>
          <w:rFonts w:ascii="宋体" w:hAnsi="宋体"/>
          <w:color w:val="000000"/>
          <w:szCs w:val="28"/>
        </w:rPr>
      </w:pPr>
      <w:r>
        <w:rPr>
          <w:rFonts w:hint="eastAsia" w:ascii="宋体" w:hAnsi="宋体"/>
          <w:color w:val="000000"/>
          <w:szCs w:val="28"/>
        </w:rPr>
        <w:t>（一）服务期限：自合同签订之日起60日历日。</w:t>
      </w:r>
    </w:p>
    <w:p>
      <w:pPr>
        <w:spacing w:line="360" w:lineRule="auto"/>
        <w:ind w:firstLine="560" w:firstLineChars="200"/>
        <w:rPr>
          <w:rFonts w:ascii="宋体" w:hAnsi="宋体"/>
          <w:color w:val="000000"/>
          <w:szCs w:val="28"/>
        </w:rPr>
      </w:pPr>
      <w:r>
        <w:rPr>
          <w:rFonts w:hint="eastAsia" w:ascii="宋体" w:hAnsi="宋体"/>
          <w:color w:val="000000"/>
          <w:szCs w:val="28"/>
        </w:rPr>
        <w:t>（二）服务地点：比选人指定地点。</w:t>
      </w:r>
    </w:p>
    <w:p>
      <w:pPr>
        <w:spacing w:line="360" w:lineRule="auto"/>
        <w:ind w:firstLine="560" w:firstLineChars="200"/>
        <w:rPr>
          <w:rFonts w:ascii="宋体" w:hAnsi="宋体"/>
          <w:color w:val="000000"/>
          <w:szCs w:val="28"/>
        </w:rPr>
      </w:pPr>
      <w:bookmarkStart w:id="60" w:name="_Toc27387"/>
      <w:r>
        <w:rPr>
          <w:rFonts w:hint="eastAsia" w:ascii="宋体" w:hAnsi="宋体"/>
          <w:color w:val="000000"/>
          <w:szCs w:val="28"/>
        </w:rPr>
        <w:t>（三）验收方式：比选人自行组织验收。</w:t>
      </w:r>
      <w:bookmarkEnd w:id="60"/>
    </w:p>
    <w:p>
      <w:pPr>
        <w:pStyle w:val="5"/>
        <w:spacing w:before="0" w:after="0" w:line="360" w:lineRule="auto"/>
        <w:rPr>
          <w:bCs/>
          <w:sz w:val="28"/>
          <w:szCs w:val="28"/>
          <w:lang w:val="zh-CN"/>
        </w:rPr>
      </w:pPr>
      <w:bookmarkStart w:id="61" w:name="_Toc12155"/>
      <w:bookmarkStart w:id="62" w:name="_Toc51154115"/>
      <w:bookmarkStart w:id="63" w:name="_Toc23429"/>
      <w:bookmarkStart w:id="64" w:name="_Toc267320050"/>
      <w:r>
        <w:rPr>
          <w:rFonts w:hint="eastAsia"/>
          <w:bCs/>
          <w:sz w:val="28"/>
          <w:szCs w:val="28"/>
          <w:lang w:val="zh-CN"/>
        </w:rPr>
        <w:t>二、报价要求</w:t>
      </w:r>
      <w:bookmarkEnd w:id="61"/>
      <w:bookmarkEnd w:id="62"/>
      <w:bookmarkEnd w:id="63"/>
    </w:p>
    <w:bookmarkEnd w:id="64"/>
    <w:p>
      <w:pPr>
        <w:spacing w:line="360" w:lineRule="auto"/>
        <w:ind w:firstLine="560" w:firstLineChars="200"/>
        <w:rPr>
          <w:rFonts w:ascii="宋体" w:hAnsi="宋体"/>
          <w:color w:val="000000"/>
          <w:szCs w:val="28"/>
        </w:rPr>
      </w:pPr>
      <w:bookmarkStart w:id="65" w:name="_Toc6578"/>
      <w:bookmarkStart w:id="66" w:name="_Toc509322423"/>
      <w:bookmarkStart w:id="67" w:name="_Toc493506292"/>
      <w:r>
        <w:rPr>
          <w:rFonts w:hint="eastAsia" w:ascii="宋体" w:hAnsi="宋体"/>
          <w:color w:val="000000"/>
          <w:szCs w:val="28"/>
        </w:rPr>
        <w:t>本项目无需报价</w:t>
      </w:r>
      <w:bookmarkEnd w:id="65"/>
      <w:r>
        <w:rPr>
          <w:rFonts w:hint="eastAsia" w:ascii="宋体" w:hAnsi="宋体"/>
          <w:color w:val="000000"/>
          <w:szCs w:val="28"/>
        </w:rPr>
        <w:t>，成交供应商的方案编制费计费比例</w:t>
      </w:r>
      <w:r>
        <w:rPr>
          <w:rFonts w:hint="eastAsia" w:ascii="宋体" w:hAnsi="宋体" w:cs="宋体"/>
          <w:kern w:val="0"/>
          <w:szCs w:val="28"/>
        </w:rPr>
        <w:t>按照市发展改革委和市财政局最终概算批复的1%计算（最高不超过30万）</w:t>
      </w:r>
      <w:r>
        <w:rPr>
          <w:rFonts w:hint="eastAsia" w:ascii="宋体" w:hAnsi="宋体"/>
          <w:color w:val="000000"/>
          <w:szCs w:val="28"/>
        </w:rPr>
        <w:t>。</w:t>
      </w:r>
    </w:p>
    <w:bookmarkEnd w:id="66"/>
    <w:bookmarkEnd w:id="67"/>
    <w:p>
      <w:pPr>
        <w:pStyle w:val="5"/>
        <w:spacing w:before="0" w:after="0" w:line="360" w:lineRule="auto"/>
        <w:rPr>
          <w:rFonts w:ascii="宋体" w:hAnsi="宋体"/>
          <w:sz w:val="28"/>
          <w:szCs w:val="28"/>
        </w:rPr>
      </w:pPr>
      <w:bookmarkStart w:id="68" w:name="_Toc17017"/>
      <w:bookmarkStart w:id="69" w:name="_Toc3221"/>
      <w:r>
        <w:rPr>
          <w:rFonts w:hint="eastAsia"/>
          <w:b w:val="0"/>
          <w:sz w:val="28"/>
          <w:szCs w:val="28"/>
        </w:rPr>
        <w:t>★</w:t>
      </w:r>
      <w:r>
        <w:rPr>
          <w:rFonts w:hint="eastAsia" w:ascii="宋体" w:hAnsi="宋体"/>
          <w:color w:val="000000"/>
          <w:sz w:val="28"/>
          <w:szCs w:val="28"/>
        </w:rPr>
        <w:t>三、</w:t>
      </w:r>
      <w:bookmarkStart w:id="70" w:name="_Toc344475122"/>
      <w:r>
        <w:rPr>
          <w:rFonts w:hint="eastAsia" w:ascii="宋体" w:hAnsi="宋体"/>
          <w:sz w:val="28"/>
          <w:szCs w:val="28"/>
        </w:rPr>
        <w:t>付款方式</w:t>
      </w:r>
      <w:bookmarkEnd w:id="68"/>
      <w:bookmarkEnd w:id="69"/>
      <w:bookmarkEnd w:id="70"/>
    </w:p>
    <w:p>
      <w:pPr>
        <w:spacing w:line="360" w:lineRule="auto"/>
        <w:ind w:firstLine="560" w:firstLineChars="200"/>
        <w:rPr>
          <w:rFonts w:ascii="宋体" w:hAnsi="宋体"/>
          <w:color w:val="000000"/>
          <w:szCs w:val="28"/>
        </w:rPr>
      </w:pPr>
      <w:bookmarkStart w:id="71" w:name="_Toc344475123"/>
      <w:r>
        <w:rPr>
          <w:rFonts w:hint="eastAsia" w:ascii="宋体" w:hAnsi="宋体"/>
          <w:color w:val="000000"/>
          <w:szCs w:val="28"/>
        </w:rPr>
        <w:t>（一）本次方案编制费</w:t>
      </w:r>
      <w:r>
        <w:rPr>
          <w:rFonts w:hint="eastAsia" w:ascii="宋体" w:hAnsi="宋体" w:cs="宋体"/>
          <w:kern w:val="0"/>
          <w:szCs w:val="28"/>
        </w:rPr>
        <w:t>按照市发展改革委和市财政局最终概算批复的1%计算（最高不超过30万）</w:t>
      </w:r>
      <w:r>
        <w:rPr>
          <w:rFonts w:hint="eastAsia" w:ascii="宋体" w:hAnsi="宋体"/>
          <w:color w:val="000000"/>
          <w:szCs w:val="28"/>
        </w:rPr>
        <w:t>，签订合同后，成交供应商提交的初步设计及概预算文件报告成功通过有关部门审批后，采购人一次性支付全额费用。</w:t>
      </w:r>
    </w:p>
    <w:p>
      <w:pPr>
        <w:spacing w:line="360" w:lineRule="auto"/>
        <w:ind w:firstLine="560" w:firstLineChars="200"/>
        <w:rPr>
          <w:rFonts w:ascii="宋体" w:hAnsi="宋体"/>
          <w:color w:val="000000"/>
          <w:szCs w:val="28"/>
        </w:rPr>
      </w:pPr>
      <w:r>
        <w:rPr>
          <w:rFonts w:hint="eastAsia" w:ascii="宋体" w:hAnsi="宋体"/>
          <w:color w:val="000000"/>
          <w:szCs w:val="28"/>
        </w:rPr>
        <w:t>（二）支付前，成交供应商须提供有效等额发票。</w:t>
      </w:r>
    </w:p>
    <w:p>
      <w:pPr>
        <w:pStyle w:val="5"/>
        <w:spacing w:before="0" w:after="0" w:line="360" w:lineRule="auto"/>
        <w:rPr>
          <w:sz w:val="28"/>
          <w:szCs w:val="28"/>
        </w:rPr>
      </w:pPr>
      <w:bookmarkStart w:id="72" w:name="_Toc12475"/>
      <w:bookmarkStart w:id="73" w:name="_Toc25933"/>
      <w:r>
        <w:rPr>
          <w:rFonts w:hint="eastAsia"/>
          <w:b w:val="0"/>
          <w:sz w:val="28"/>
          <w:szCs w:val="28"/>
        </w:rPr>
        <w:t>★</w:t>
      </w:r>
      <w:r>
        <w:rPr>
          <w:rFonts w:hint="eastAsia"/>
          <w:sz w:val="28"/>
          <w:szCs w:val="28"/>
        </w:rPr>
        <w:t>四、知识产权</w:t>
      </w:r>
      <w:bookmarkEnd w:id="72"/>
      <w:bookmarkEnd w:id="73"/>
    </w:p>
    <w:p>
      <w:pPr>
        <w:spacing w:line="360" w:lineRule="auto"/>
        <w:ind w:firstLine="560" w:firstLineChars="200"/>
        <w:rPr>
          <w:rFonts w:ascii="宋体" w:hAnsi="宋体"/>
          <w:szCs w:val="28"/>
        </w:rPr>
      </w:pPr>
      <w:r>
        <w:rPr>
          <w:rFonts w:hint="eastAsia" w:ascii="宋体" w:hAnsi="宋体"/>
          <w:szCs w:val="28"/>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560" w:firstLineChars="200"/>
        <w:rPr>
          <w:rFonts w:ascii="宋体" w:hAnsi="宋体"/>
          <w:szCs w:val="28"/>
        </w:rPr>
      </w:pPr>
      <w:r>
        <w:rPr>
          <w:rFonts w:hint="eastAsia" w:ascii="宋体" w:hAnsi="宋体"/>
          <w:szCs w:val="28"/>
        </w:rPr>
        <w:t>（二）涉及软件开发等服务类项目知识产权的，知识产权归比选人所有。</w:t>
      </w:r>
    </w:p>
    <w:bookmarkEnd w:id="71"/>
    <w:p>
      <w:pPr>
        <w:pStyle w:val="5"/>
        <w:spacing w:before="0" w:after="0" w:line="360" w:lineRule="auto"/>
        <w:rPr>
          <w:color w:val="000000"/>
          <w:sz w:val="28"/>
          <w:szCs w:val="28"/>
        </w:rPr>
      </w:pPr>
      <w:bookmarkStart w:id="74" w:name="_Toc4564"/>
      <w:bookmarkStart w:id="75" w:name="_Toc13560"/>
      <w:r>
        <w:rPr>
          <w:rFonts w:hint="eastAsia" w:ascii="宋体" w:hAnsi="宋体"/>
          <w:color w:val="000000"/>
          <w:sz w:val="28"/>
          <w:szCs w:val="28"/>
        </w:rPr>
        <w:t>五、</w:t>
      </w:r>
      <w:bookmarkStart w:id="76" w:name="_Toc344475125"/>
      <w:r>
        <w:rPr>
          <w:rFonts w:hint="eastAsia"/>
          <w:color w:val="000000"/>
          <w:sz w:val="28"/>
          <w:szCs w:val="28"/>
        </w:rPr>
        <w:t>其他</w:t>
      </w:r>
      <w:bookmarkEnd w:id="74"/>
      <w:bookmarkEnd w:id="75"/>
    </w:p>
    <w:bookmarkEnd w:id="76"/>
    <w:p>
      <w:pPr>
        <w:snapToGrid w:val="0"/>
        <w:spacing w:line="360" w:lineRule="auto"/>
        <w:ind w:firstLine="560" w:firstLineChars="200"/>
        <w:rPr>
          <w:color w:val="000000"/>
          <w:szCs w:val="28"/>
        </w:rPr>
      </w:pPr>
      <w:r>
        <w:rPr>
          <w:rFonts w:hint="eastAsia"/>
          <w:color w:val="000000"/>
          <w:szCs w:val="28"/>
        </w:rPr>
        <w:t>（一）竞选人必须在竞选文件中对以上条款和服务承诺明确列出，承诺内容必须达到本篇及比选文件其他条款的要求。</w:t>
      </w:r>
    </w:p>
    <w:p>
      <w:pPr>
        <w:snapToGrid w:val="0"/>
        <w:spacing w:line="360" w:lineRule="auto"/>
        <w:ind w:firstLine="560" w:firstLineChars="200"/>
        <w:rPr>
          <w:color w:val="000000"/>
          <w:szCs w:val="28"/>
        </w:rPr>
      </w:pPr>
      <w:r>
        <w:rPr>
          <w:rFonts w:hint="eastAsia"/>
          <w:color w:val="000000"/>
          <w:szCs w:val="28"/>
        </w:rPr>
        <w:t>（二）其他未尽事宜由供需双方在采购合同中详细约定。</w:t>
      </w:r>
    </w:p>
    <w:p>
      <w:pPr>
        <w:pStyle w:val="4"/>
        <w:spacing w:line="360" w:lineRule="auto"/>
        <w:jc w:val="center"/>
        <w:rPr>
          <w:rFonts w:ascii="宋体" w:hAnsi="宋体" w:eastAsia="宋体"/>
          <w:color w:val="000000"/>
          <w:sz w:val="36"/>
          <w:szCs w:val="36"/>
        </w:rPr>
      </w:pPr>
      <w:r>
        <w:rPr>
          <w:rFonts w:ascii="宋体" w:hAnsi="宋体" w:eastAsia="宋体"/>
          <w:b w:val="0"/>
          <w:color w:val="FF0000"/>
          <w:sz w:val="21"/>
          <w:szCs w:val="21"/>
        </w:rPr>
        <w:br w:type="page"/>
      </w:r>
      <w:bookmarkStart w:id="77" w:name="_Toc5097"/>
      <w:bookmarkStart w:id="78" w:name="_Toc21028"/>
      <w:r>
        <w:rPr>
          <w:rFonts w:hint="eastAsia" w:ascii="宋体" w:hAnsi="宋体" w:eastAsia="宋体"/>
          <w:color w:val="000000"/>
          <w:sz w:val="36"/>
          <w:szCs w:val="36"/>
        </w:rPr>
        <w:t xml:space="preserve">第四篇  </w:t>
      </w:r>
      <w:bookmarkEnd w:id="54"/>
      <w:bookmarkEnd w:id="55"/>
      <w:r>
        <w:rPr>
          <w:rFonts w:hint="eastAsia" w:ascii="宋体" w:hAnsi="宋体" w:eastAsia="宋体"/>
          <w:color w:val="000000"/>
          <w:sz w:val="36"/>
          <w:szCs w:val="36"/>
        </w:rPr>
        <w:t>比选程序及方法、评审标准等</w:t>
      </w:r>
      <w:bookmarkEnd w:id="77"/>
      <w:bookmarkEnd w:id="78"/>
    </w:p>
    <w:p>
      <w:pPr>
        <w:pStyle w:val="5"/>
        <w:spacing w:before="0" w:after="0" w:line="480" w:lineRule="exact"/>
        <w:rPr>
          <w:rFonts w:ascii="宋体" w:hAnsi="宋体"/>
          <w:color w:val="000000"/>
          <w:sz w:val="28"/>
          <w:szCs w:val="28"/>
        </w:rPr>
      </w:pPr>
      <w:bookmarkStart w:id="79" w:name="_Toc25243"/>
      <w:bookmarkStart w:id="80" w:name="_Toc18720"/>
      <w:r>
        <w:rPr>
          <w:rFonts w:hint="eastAsia" w:ascii="宋体" w:hAnsi="宋体"/>
          <w:color w:val="000000"/>
          <w:sz w:val="28"/>
          <w:szCs w:val="28"/>
        </w:rPr>
        <w:t>一、比选程序及方法</w:t>
      </w:r>
      <w:bookmarkEnd w:id="79"/>
      <w:bookmarkEnd w:id="80"/>
    </w:p>
    <w:p>
      <w:pPr>
        <w:spacing w:line="480" w:lineRule="exact"/>
        <w:ind w:firstLine="560" w:firstLineChars="200"/>
        <w:rPr>
          <w:rFonts w:ascii="宋体" w:hAnsi="宋体"/>
          <w:color w:val="000000"/>
          <w:szCs w:val="28"/>
        </w:rPr>
      </w:pPr>
      <w:r>
        <w:rPr>
          <w:rFonts w:hint="eastAsia" w:ascii="宋体" w:hAnsi="宋体"/>
          <w:color w:val="000000"/>
          <w:szCs w:val="28"/>
        </w:rPr>
        <w:t>（一）比选按竞争性比选文件规定的时间和地点进行，竞选人须有法定代表人或其授权代表参加并签到。</w:t>
      </w:r>
    </w:p>
    <w:p>
      <w:pPr>
        <w:spacing w:line="480" w:lineRule="exact"/>
        <w:ind w:firstLine="560" w:firstLineChars="200"/>
        <w:rPr>
          <w:rFonts w:ascii="宋体" w:hAnsi="宋体"/>
          <w:color w:val="000000"/>
          <w:szCs w:val="28"/>
        </w:rPr>
      </w:pPr>
      <w:r>
        <w:rPr>
          <w:rFonts w:hint="eastAsia" w:ascii="宋体" w:hAnsi="宋体"/>
          <w:color w:val="000000"/>
          <w:szCs w:val="28"/>
        </w:rPr>
        <w:t>（二）比选小组对各竞选人的资格条件、竞选文件的有效性、完整性和响应程度进行审查。各竞选人只有在完全符合要求的前提下，才能参与正式比选。</w:t>
      </w:r>
    </w:p>
    <w:p>
      <w:pPr>
        <w:snapToGrid w:val="0"/>
        <w:spacing w:line="480" w:lineRule="exact"/>
        <w:ind w:firstLine="560" w:firstLineChars="200"/>
        <w:rPr>
          <w:rFonts w:ascii="宋体" w:hAnsi="宋体"/>
          <w:color w:val="000000"/>
          <w:szCs w:val="28"/>
        </w:rPr>
      </w:pPr>
      <w:r>
        <w:rPr>
          <w:rFonts w:hint="eastAsia" w:ascii="宋体" w:hAnsi="宋体"/>
          <w:color w:val="000000"/>
          <w:szCs w:val="28"/>
        </w:rPr>
        <w:t>1．资格性检查。依据法律法规和竞争性比选文件的规定，对竞选文件中的资格证明、比选保证金等进行审查，以确定竞选人是否具备比选资格。资格性检查资料表如下：</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543"/>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4253" w:type="dxa"/>
            <w:gridSpan w:val="2"/>
            <w:vAlign w:val="center"/>
          </w:tcPr>
          <w:p>
            <w:pPr>
              <w:jc w:val="center"/>
              <w:rPr>
                <w:rFonts w:ascii="宋体" w:hAnsi="宋体"/>
                <w:b/>
                <w:color w:val="000000"/>
                <w:sz w:val="24"/>
                <w:szCs w:val="24"/>
              </w:rPr>
            </w:pPr>
            <w:r>
              <w:rPr>
                <w:rFonts w:hint="eastAsia" w:ascii="宋体" w:hAnsi="宋体"/>
                <w:b/>
                <w:color w:val="000000"/>
                <w:sz w:val="24"/>
                <w:szCs w:val="24"/>
              </w:rPr>
              <w:t>检查因素</w:t>
            </w:r>
          </w:p>
        </w:tc>
        <w:tc>
          <w:tcPr>
            <w:tcW w:w="4700" w:type="dxa"/>
            <w:vAlign w:val="center"/>
          </w:tcPr>
          <w:p>
            <w:pPr>
              <w:jc w:val="center"/>
              <w:rPr>
                <w:rFonts w:ascii="宋体" w:hAnsi="宋体"/>
                <w:b/>
                <w:color w:val="000000"/>
                <w:sz w:val="24"/>
                <w:szCs w:val="24"/>
              </w:rPr>
            </w:pPr>
            <w:r>
              <w:rPr>
                <w:rFonts w:hint="eastAsia" w:ascii="宋体" w:hAnsi="宋体"/>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1" w:hRule="atLeast"/>
        </w:trPr>
        <w:tc>
          <w:tcPr>
            <w:tcW w:w="675" w:type="dxa"/>
            <w:vMerge w:val="restart"/>
            <w:vAlign w:val="center"/>
          </w:tcPr>
          <w:p>
            <w:pPr>
              <w:jc w:val="center"/>
              <w:rPr>
                <w:rFonts w:ascii="宋体" w:hAnsi="宋体"/>
                <w:color w:val="000000"/>
                <w:sz w:val="24"/>
                <w:szCs w:val="24"/>
              </w:rPr>
            </w:pPr>
            <w:r>
              <w:rPr>
                <w:rFonts w:hint="eastAsia" w:ascii="宋体" w:hAnsi="宋体"/>
                <w:color w:val="000000"/>
                <w:sz w:val="24"/>
                <w:szCs w:val="24"/>
              </w:rPr>
              <w:t>1</w:t>
            </w:r>
          </w:p>
        </w:tc>
        <w:tc>
          <w:tcPr>
            <w:tcW w:w="710" w:type="dxa"/>
            <w:vMerge w:val="restart"/>
            <w:vAlign w:val="center"/>
          </w:tcPr>
          <w:p>
            <w:pPr>
              <w:rPr>
                <w:rFonts w:ascii="宋体" w:hAnsi="宋体"/>
                <w:color w:val="000000"/>
                <w:sz w:val="24"/>
                <w:szCs w:val="24"/>
              </w:rPr>
            </w:pPr>
            <w:r>
              <w:rPr>
                <w:rFonts w:hint="eastAsia" w:ascii="宋体" w:hAnsi="宋体"/>
                <w:color w:val="000000"/>
                <w:sz w:val="24"/>
                <w:szCs w:val="24"/>
              </w:rPr>
              <w:t>竞选人应符合的基本资格条件</w:t>
            </w:r>
          </w:p>
        </w:tc>
        <w:tc>
          <w:tcPr>
            <w:tcW w:w="3543" w:type="dxa"/>
            <w:vAlign w:val="center"/>
          </w:tcPr>
          <w:p>
            <w:pPr>
              <w:rPr>
                <w:rFonts w:ascii="宋体" w:hAnsi="宋体"/>
                <w:color w:val="000000"/>
                <w:sz w:val="24"/>
                <w:szCs w:val="24"/>
              </w:rPr>
            </w:pPr>
            <w:r>
              <w:rPr>
                <w:rFonts w:hint="eastAsia" w:ascii="宋体" w:hAnsi="宋体"/>
                <w:color w:val="000000"/>
                <w:sz w:val="24"/>
                <w:szCs w:val="24"/>
              </w:rPr>
              <w:t>1）具有独立承担民事责任的能力</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竞选人法人营业执照（副本）或事业单位法人证书（副本）或个体工商户营业执照或有效的自然人身份证明、组织机构代码证复印件（注</w:t>
            </w: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\o\ac(○,1)</w:instrText>
            </w:r>
            <w:r>
              <w:rPr>
                <w:rFonts w:hint="eastAsia" w:ascii="宋体" w:hAnsi="宋体"/>
                <w:color w:val="000000"/>
                <w:sz w:val="24"/>
                <w:szCs w:val="24"/>
                <w:lang w:val="zh-CN"/>
              </w:rPr>
              <w:fldChar w:fldCharType="end"/>
            </w:r>
            <w:r>
              <w:rPr>
                <w:rFonts w:hint="eastAsia" w:ascii="宋体" w:hAnsi="宋体"/>
                <w:color w:val="000000"/>
                <w:sz w:val="24"/>
                <w:szCs w:val="24"/>
                <w:lang w:val="zh-CN"/>
              </w:rPr>
              <w:t xml:space="preserve">）； </w:t>
            </w:r>
          </w:p>
          <w:p>
            <w:pPr>
              <w:rPr>
                <w:rFonts w:ascii="宋体" w:hAnsi="宋体"/>
                <w:color w:val="000000"/>
                <w:sz w:val="24"/>
                <w:szCs w:val="24"/>
                <w:lang w:val="zh-CN"/>
              </w:rPr>
            </w:pPr>
            <w:r>
              <w:rPr>
                <w:rFonts w:hint="eastAsia" w:ascii="宋体" w:hAnsi="宋体"/>
                <w:color w:val="000000"/>
                <w:sz w:val="24"/>
                <w:szCs w:val="24"/>
                <w:lang w:val="zh-CN"/>
              </w:rPr>
              <w:t>竞选人法定代表人身份证明和法定代表人授权代表委托书。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2）具有良好的商业信誉和健全的财务会计制度</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提供2019年度或</w:t>
            </w:r>
            <w:r>
              <w:rPr>
                <w:rFonts w:hint="eastAsia" w:ascii="宋体" w:hAnsi="宋体"/>
                <w:color w:val="000000"/>
                <w:sz w:val="24"/>
                <w:szCs w:val="24"/>
              </w:rPr>
              <w:t>2020年度</w:t>
            </w:r>
            <w:r>
              <w:rPr>
                <w:rFonts w:hint="eastAsia" w:ascii="宋体" w:hAnsi="宋体"/>
                <w:color w:val="000000"/>
                <w:sz w:val="24"/>
                <w:szCs w:val="24"/>
                <w:lang w:val="zh-CN"/>
              </w:rPr>
              <w:t>财务状况报告（表）或其基本账户开户银行出具的资信证明复印件。本年度新成立或成立不满一年的组织和自然人无法提供财务状况报告（表）的，可提供银行出具的资信证明复印件。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3）具有履行合同所必需的设备和专业技术能力</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竞选人提供书面声明或相关证明材料（见格式文件）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1"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4）有依法缴纳税收和社会保障金的良好记录</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1.税务登记证（副本）复印件（注</w:t>
            </w:r>
            <w:r>
              <w:rPr>
                <w:rFonts w:hint="eastAsia" w:ascii="宋体" w:hAnsi="宋体"/>
                <w:color w:val="000000"/>
                <w:sz w:val="24"/>
                <w:szCs w:val="24"/>
              </w:rPr>
              <w:fldChar w:fldCharType="begin"/>
            </w:r>
            <w:r>
              <w:rPr>
                <w:rFonts w:hint="eastAsia" w:ascii="宋体" w:hAnsi="宋体"/>
                <w:color w:val="000000"/>
                <w:sz w:val="24"/>
                <w:szCs w:val="24"/>
              </w:rPr>
              <w:instrText xml:space="preserve"> eq \o\ac(○,1)</w:instrText>
            </w:r>
            <w:r>
              <w:rPr>
                <w:rFonts w:hint="eastAsia" w:ascii="宋体" w:hAnsi="宋体"/>
                <w:color w:val="000000"/>
                <w:sz w:val="24"/>
                <w:szCs w:val="24"/>
              </w:rPr>
              <w:fldChar w:fldCharType="end"/>
            </w:r>
            <w:r>
              <w:rPr>
                <w:rFonts w:hint="eastAsia" w:ascii="宋体" w:hAnsi="宋体"/>
                <w:color w:val="000000"/>
                <w:sz w:val="24"/>
                <w:szCs w:val="24"/>
                <w:lang w:val="zh-CN"/>
              </w:rPr>
              <w:t>）</w:t>
            </w:r>
          </w:p>
          <w:p>
            <w:pPr>
              <w:rPr>
                <w:rFonts w:ascii="宋体" w:hAnsi="宋体"/>
                <w:color w:val="000000"/>
                <w:sz w:val="24"/>
                <w:szCs w:val="24"/>
              </w:rPr>
            </w:pPr>
            <w:r>
              <w:rPr>
                <w:rFonts w:hint="eastAsia" w:ascii="宋体" w:hAnsi="宋体"/>
                <w:color w:val="000000"/>
                <w:sz w:val="24"/>
                <w:szCs w:val="24"/>
                <w:lang w:val="zh-CN"/>
              </w:rPr>
              <w:t>2.缴纳社会保障金的证明材料复印件（缴纳社会保障金的证明材料指：缴纳社会保险的凭据（专用收据或社会保险缴纳清单）。依法免税或不需要缴纳社会保障资金的竞选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5）参加比选前三年内，在经营活动中没有重大违法记录</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1.竞选人提供书面声明（见格式文件）；</w:t>
            </w:r>
          </w:p>
          <w:p>
            <w:pPr>
              <w:rPr>
                <w:rFonts w:ascii="宋体" w:hAnsi="宋体"/>
                <w:color w:val="000000"/>
                <w:sz w:val="24"/>
                <w:szCs w:val="24"/>
              </w:rPr>
            </w:pPr>
            <w:r>
              <w:rPr>
                <w:rFonts w:hint="eastAsia" w:ascii="宋体" w:hAnsi="宋体"/>
                <w:color w:val="000000"/>
                <w:sz w:val="24"/>
                <w:szCs w:val="24"/>
                <w:lang w:val="zh-CN"/>
              </w:rPr>
              <w:t>2.比选人或比选代理机构将通过 “信用中国”网站(www.creditchina.gov.cn)、"中国政府采购网"(www.ccgp.gov.cn)等渠道查询竞选人信用记录，对列入失信被执行人、重大税收违法案件当事人名单、政府采购严重违法失信行为记录名单的竞选人将拒绝其参与政府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6）法律、行政法规规定的其他条件</w:t>
            </w:r>
          </w:p>
        </w:tc>
        <w:tc>
          <w:tcPr>
            <w:tcW w:w="4700" w:type="dxa"/>
            <w:vAlign w:val="center"/>
          </w:tcPr>
          <w:p>
            <w:pPr>
              <w:rPr>
                <w:rFonts w:ascii="宋体" w:hAnsi="宋体"/>
                <w:color w:val="000000"/>
                <w:sz w:val="24"/>
                <w:szCs w:val="24"/>
              </w:rPr>
            </w:pP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75" w:type="dxa"/>
            <w:vAlign w:val="center"/>
          </w:tcPr>
          <w:p>
            <w:pPr>
              <w:jc w:val="center"/>
              <w:rPr>
                <w:rFonts w:ascii="宋体" w:hAnsi="宋体"/>
                <w:color w:val="000000"/>
                <w:sz w:val="24"/>
                <w:szCs w:val="24"/>
              </w:rPr>
            </w:pPr>
            <w:r>
              <w:rPr>
                <w:rFonts w:hint="eastAsia" w:ascii="宋体" w:hAnsi="宋体"/>
                <w:color w:val="000000"/>
                <w:sz w:val="24"/>
                <w:szCs w:val="24"/>
              </w:rPr>
              <w:t>2</w:t>
            </w:r>
          </w:p>
        </w:tc>
        <w:tc>
          <w:tcPr>
            <w:tcW w:w="4253" w:type="dxa"/>
            <w:gridSpan w:val="2"/>
            <w:vAlign w:val="center"/>
          </w:tcPr>
          <w:p>
            <w:pPr>
              <w:rPr>
                <w:rFonts w:ascii="宋体" w:hAnsi="宋体"/>
                <w:color w:val="000000"/>
                <w:sz w:val="24"/>
                <w:szCs w:val="24"/>
              </w:rPr>
            </w:pPr>
            <w:r>
              <w:rPr>
                <w:rFonts w:hint="eastAsia" w:ascii="宋体" w:hAnsi="宋体"/>
                <w:color w:val="000000"/>
                <w:sz w:val="24"/>
                <w:szCs w:val="24"/>
              </w:rPr>
              <w:t>特定资格条件</w:t>
            </w:r>
          </w:p>
        </w:tc>
        <w:tc>
          <w:tcPr>
            <w:tcW w:w="4700" w:type="dxa"/>
            <w:vAlign w:val="center"/>
          </w:tcPr>
          <w:p>
            <w:pPr>
              <w:rPr>
                <w:rFonts w:ascii="宋体" w:hAnsi="宋体"/>
                <w:color w:val="000000"/>
                <w:sz w:val="24"/>
                <w:szCs w:val="24"/>
              </w:rPr>
            </w:pPr>
            <w:r>
              <w:rPr>
                <w:rFonts w:hint="eastAsia" w:ascii="宋体" w:hAnsi="宋体"/>
                <w:color w:val="000000"/>
                <w:sz w:val="24"/>
                <w:szCs w:val="24"/>
              </w:rPr>
              <w:t>满足按第一篇“（二）特定资格条件”的要求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75" w:type="dxa"/>
            <w:vAlign w:val="center"/>
          </w:tcPr>
          <w:p>
            <w:pPr>
              <w:jc w:val="center"/>
              <w:rPr>
                <w:rFonts w:ascii="宋体" w:hAnsi="宋体"/>
                <w:color w:val="000000"/>
                <w:sz w:val="24"/>
                <w:szCs w:val="24"/>
              </w:rPr>
            </w:pPr>
            <w:r>
              <w:rPr>
                <w:rFonts w:ascii="宋体" w:hAnsi="宋体"/>
                <w:color w:val="000000"/>
                <w:sz w:val="24"/>
                <w:szCs w:val="24"/>
              </w:rPr>
              <w:t>3</w:t>
            </w:r>
          </w:p>
        </w:tc>
        <w:tc>
          <w:tcPr>
            <w:tcW w:w="4253" w:type="dxa"/>
            <w:gridSpan w:val="2"/>
            <w:vAlign w:val="center"/>
          </w:tcPr>
          <w:p>
            <w:pPr>
              <w:rPr>
                <w:rFonts w:ascii="宋体" w:hAnsi="宋体"/>
                <w:color w:val="000000"/>
                <w:sz w:val="24"/>
                <w:szCs w:val="24"/>
              </w:rPr>
            </w:pPr>
            <w:r>
              <w:rPr>
                <w:rFonts w:hint="eastAsia" w:ascii="宋体" w:hAnsi="宋体"/>
                <w:color w:val="000000"/>
                <w:sz w:val="24"/>
                <w:szCs w:val="24"/>
              </w:rPr>
              <w:t>保证金</w:t>
            </w:r>
          </w:p>
        </w:tc>
        <w:tc>
          <w:tcPr>
            <w:tcW w:w="4700" w:type="dxa"/>
            <w:vAlign w:val="center"/>
          </w:tcPr>
          <w:p>
            <w:pPr>
              <w:rPr>
                <w:rFonts w:ascii="宋体" w:hAnsi="宋体"/>
                <w:color w:val="000000"/>
                <w:sz w:val="24"/>
                <w:szCs w:val="24"/>
              </w:rPr>
            </w:pPr>
            <w:r>
              <w:rPr>
                <w:rFonts w:hint="eastAsia" w:ascii="宋体" w:hAnsi="宋体"/>
                <w:color w:val="000000"/>
                <w:sz w:val="24"/>
                <w:szCs w:val="24"/>
                <w:lang w:val="zh-CN"/>
              </w:rPr>
              <w:t>按照比选文件的规定提交比选保证金</w:t>
            </w:r>
          </w:p>
        </w:tc>
      </w:tr>
    </w:tbl>
    <w:p>
      <w:pPr>
        <w:snapToGrid w:val="0"/>
        <w:spacing w:line="440" w:lineRule="exact"/>
        <w:ind w:firstLine="560" w:firstLineChars="200"/>
        <w:rPr>
          <w:rFonts w:ascii="宋体" w:hAnsi="宋体"/>
          <w:szCs w:val="28"/>
        </w:rPr>
      </w:pPr>
      <w:r>
        <w:rPr>
          <w:rFonts w:hint="eastAsia" w:ascii="宋体" w:hAnsi="宋体"/>
          <w:szCs w:val="28"/>
        </w:rPr>
        <w:t>注：</w:t>
      </w:r>
    </w:p>
    <w:p>
      <w:pPr>
        <w:spacing w:line="440" w:lineRule="exact"/>
        <w:ind w:firstLine="560" w:firstLineChars="200"/>
        <w:rPr>
          <w:rFonts w:ascii="宋体" w:hAnsi="宋体"/>
          <w:color w:val="000000"/>
          <w:szCs w:val="28"/>
        </w:rPr>
      </w:pPr>
      <w:r>
        <w:rPr>
          <w:rFonts w:ascii="宋体" w:hAnsi="宋体"/>
          <w:color w:val="000000"/>
          <w:szCs w:val="28"/>
        </w:rPr>
        <w:fldChar w:fldCharType="begin"/>
      </w:r>
      <w:r>
        <w:rPr>
          <w:rFonts w:hint="eastAsia" w:ascii="宋体" w:hAnsi="宋体"/>
          <w:color w:val="000000"/>
          <w:szCs w:val="28"/>
        </w:rPr>
        <w:instrText xml:space="preserve">eq \o\ac(○,1)</w:instrText>
      </w:r>
      <w:r>
        <w:rPr>
          <w:rFonts w:ascii="宋体" w:hAnsi="宋体"/>
          <w:color w:val="000000"/>
          <w:szCs w:val="28"/>
        </w:rPr>
        <w:fldChar w:fldCharType="end"/>
      </w:r>
      <w:r>
        <w:rPr>
          <w:rFonts w:hint="eastAsia" w:ascii="宋体" w:hAnsi="宋体"/>
          <w:color w:val="000000"/>
          <w:szCs w:val="28"/>
        </w:rPr>
        <w:t>竞选人按“多证合一”登记制度办理营业执照的，组织机构代码证和税务登记证（副本）以竞选人所提供的营业执照（副本）复印件为准。</w:t>
      </w:r>
    </w:p>
    <w:p>
      <w:pPr>
        <w:spacing w:line="440" w:lineRule="exact"/>
        <w:ind w:firstLine="560" w:firstLineChars="200"/>
        <w:rPr>
          <w:color w:val="000000"/>
          <w:szCs w:val="28"/>
        </w:rPr>
      </w:pPr>
      <w:r>
        <w:rPr>
          <w:rFonts w:ascii="宋体" w:hAnsi="宋体"/>
          <w:color w:val="000000"/>
          <w:szCs w:val="28"/>
        </w:rPr>
        <w:fldChar w:fldCharType="begin"/>
      </w:r>
      <w:r>
        <w:rPr>
          <w:rFonts w:hint="eastAsia" w:ascii="宋体" w:hAnsi="宋体"/>
          <w:color w:val="000000"/>
          <w:szCs w:val="28"/>
        </w:rPr>
        <w:instrText xml:space="preserve">eq \o\ac(○,2)</w:instrText>
      </w:r>
      <w:r>
        <w:rPr>
          <w:rFonts w:ascii="宋体" w:hAnsi="宋体"/>
          <w:color w:val="000000"/>
          <w:szCs w:val="28"/>
        </w:rPr>
        <w:fldChar w:fldCharType="end"/>
      </w:r>
      <w:r>
        <w:rPr>
          <w:rFonts w:hint="eastAsia" w:ascii="宋体" w:hAnsi="宋体"/>
          <w:color w:val="000000"/>
          <w:szCs w:val="28"/>
        </w:rPr>
        <w:t xml:space="preserve"> “参加比选前三年内，在经营活动中没有重大违法记录”中“重大违法记录”</w:t>
      </w:r>
      <w:r>
        <w:rPr>
          <w:rFonts w:ascii="宋体" w:hAnsi="宋体"/>
          <w:color w:val="000000"/>
          <w:szCs w:val="28"/>
        </w:rPr>
        <w:t>，是指</w:t>
      </w:r>
      <w:r>
        <w:rPr>
          <w:rFonts w:hint="eastAsia" w:ascii="宋体" w:hAnsi="宋体"/>
          <w:color w:val="000000"/>
          <w:szCs w:val="28"/>
        </w:rPr>
        <w:t>竞选人</w:t>
      </w:r>
      <w:r>
        <w:rPr>
          <w:rFonts w:ascii="宋体" w:hAnsi="宋体"/>
          <w:color w:val="000000"/>
          <w:szCs w:val="28"/>
        </w:rPr>
        <w:t>因违法经营受到刑事处罚或者责令停产停业、吊销许可证或者执照、较大数额罚款等行政处罚。</w:t>
      </w:r>
      <w:r>
        <w:rPr>
          <w:rFonts w:hint="eastAsia" w:ascii="宋体" w:hAnsi="宋体"/>
          <w:color w:val="000000"/>
          <w:szCs w:val="28"/>
        </w:rPr>
        <w:t>行政处罚中“较大数额”的认定标准，由执行人所在的省、自治区、直辖市人民政府制定，国务院有关部门规定了较大数额标准的，从其规定。</w:t>
      </w:r>
    </w:p>
    <w:p>
      <w:pPr>
        <w:spacing w:line="440" w:lineRule="exact"/>
        <w:ind w:firstLine="560" w:firstLineChars="200"/>
        <w:rPr>
          <w:rFonts w:ascii="宋体" w:hAnsi="宋体"/>
          <w:color w:val="000000"/>
          <w:szCs w:val="28"/>
        </w:rPr>
      </w:pPr>
      <w:r>
        <w:rPr>
          <w:rFonts w:hint="eastAsia" w:ascii="宋体" w:hAnsi="宋体"/>
          <w:color w:val="000000"/>
          <w:szCs w:val="28"/>
        </w:rPr>
        <w:t>2．符合性检查。依据竞争性比选文件的规定，从竞选文件的有效性、完整性和对竞争性比选文件的响应程度进行审查，以确定是否对竞争性比选文件的实质性要求作出响应。符合性检查资料表如下：</w:t>
      </w:r>
    </w:p>
    <w:tbl>
      <w:tblPr>
        <w:tblStyle w:val="67"/>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序号</w:t>
            </w:r>
          </w:p>
        </w:tc>
        <w:tc>
          <w:tcPr>
            <w:tcW w:w="3569" w:type="dxa"/>
            <w:gridSpan w:val="2"/>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评审因素</w:t>
            </w:r>
          </w:p>
        </w:tc>
        <w:tc>
          <w:tcPr>
            <w:tcW w:w="5441" w:type="dxa"/>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75" w:type="dxa"/>
            <w:vMerge w:val="restart"/>
            <w:vAlign w:val="center"/>
          </w:tcPr>
          <w:p>
            <w:pPr>
              <w:spacing w:line="240" w:lineRule="exact"/>
              <w:jc w:val="center"/>
              <w:rPr>
                <w:rFonts w:ascii="宋体" w:hAnsi="宋体"/>
                <w:color w:val="000000"/>
                <w:sz w:val="24"/>
                <w:szCs w:val="24"/>
              </w:rPr>
            </w:pPr>
            <w:r>
              <w:rPr>
                <w:rFonts w:hint="eastAsia" w:ascii="宋体" w:hAnsi="宋体"/>
                <w:color w:val="000000"/>
                <w:sz w:val="24"/>
                <w:szCs w:val="24"/>
              </w:rPr>
              <w:t>1</w:t>
            </w:r>
          </w:p>
        </w:tc>
        <w:tc>
          <w:tcPr>
            <w:tcW w:w="1573" w:type="dxa"/>
            <w:vMerge w:val="restart"/>
            <w:vAlign w:val="center"/>
          </w:tcPr>
          <w:p>
            <w:pPr>
              <w:spacing w:line="240" w:lineRule="exact"/>
              <w:rPr>
                <w:rFonts w:ascii="宋体" w:hAnsi="宋体"/>
                <w:color w:val="000000"/>
                <w:sz w:val="24"/>
                <w:szCs w:val="24"/>
              </w:rPr>
            </w:pPr>
            <w:r>
              <w:rPr>
                <w:rFonts w:hint="eastAsia" w:ascii="宋体" w:hAnsi="宋体"/>
                <w:color w:val="000000"/>
                <w:sz w:val="24"/>
                <w:szCs w:val="24"/>
              </w:rPr>
              <w:t>有效性审查</w:t>
            </w: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竞选文件签署</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5" w:type="dxa"/>
            <w:vMerge w:val="continue"/>
            <w:vAlign w:val="center"/>
          </w:tcPr>
          <w:p>
            <w:pPr>
              <w:spacing w:line="240" w:lineRule="exact"/>
              <w:jc w:val="center"/>
              <w:rPr>
                <w:rFonts w:ascii="宋体" w:hAnsi="宋体"/>
                <w:color w:val="000000"/>
                <w:sz w:val="24"/>
                <w:szCs w:val="24"/>
              </w:rPr>
            </w:pPr>
          </w:p>
        </w:tc>
        <w:tc>
          <w:tcPr>
            <w:tcW w:w="1573" w:type="dxa"/>
            <w:vMerge w:val="continue"/>
            <w:vAlign w:val="center"/>
          </w:tcPr>
          <w:p>
            <w:pPr>
              <w:spacing w:line="240" w:lineRule="exact"/>
              <w:rPr>
                <w:rFonts w:ascii="宋体" w:hAnsi="宋体"/>
                <w:color w:val="000000"/>
                <w:sz w:val="24"/>
                <w:szCs w:val="24"/>
              </w:rPr>
            </w:pP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法定代表人身份证明及授权委托书</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Merge w:val="continue"/>
            <w:vAlign w:val="center"/>
          </w:tcPr>
          <w:p>
            <w:pPr>
              <w:spacing w:line="240" w:lineRule="exact"/>
              <w:jc w:val="center"/>
              <w:rPr>
                <w:rFonts w:ascii="宋体" w:hAnsi="宋体"/>
                <w:color w:val="000000"/>
                <w:sz w:val="24"/>
                <w:szCs w:val="24"/>
              </w:rPr>
            </w:pPr>
          </w:p>
        </w:tc>
        <w:tc>
          <w:tcPr>
            <w:tcW w:w="1573" w:type="dxa"/>
            <w:vMerge w:val="continue"/>
            <w:vAlign w:val="center"/>
          </w:tcPr>
          <w:p>
            <w:pPr>
              <w:spacing w:line="240" w:lineRule="exact"/>
              <w:rPr>
                <w:rFonts w:ascii="宋体" w:hAnsi="宋体"/>
                <w:color w:val="000000"/>
                <w:sz w:val="24"/>
                <w:szCs w:val="24"/>
              </w:rPr>
            </w:pP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比选方案</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5" w:type="dxa"/>
            <w:vAlign w:val="center"/>
          </w:tcPr>
          <w:p>
            <w:pPr>
              <w:spacing w:line="240" w:lineRule="exact"/>
              <w:jc w:val="center"/>
              <w:rPr>
                <w:rFonts w:ascii="宋体" w:hAnsi="宋体"/>
                <w:color w:val="000000"/>
                <w:sz w:val="24"/>
                <w:szCs w:val="24"/>
              </w:rPr>
            </w:pPr>
            <w:r>
              <w:rPr>
                <w:rFonts w:hint="eastAsia" w:ascii="宋体" w:hAnsi="宋体"/>
                <w:color w:val="000000"/>
                <w:sz w:val="24"/>
                <w:szCs w:val="24"/>
              </w:rPr>
              <w:t>2</w:t>
            </w:r>
          </w:p>
        </w:tc>
        <w:tc>
          <w:tcPr>
            <w:tcW w:w="1573" w:type="dxa"/>
            <w:vAlign w:val="center"/>
          </w:tcPr>
          <w:p>
            <w:pPr>
              <w:spacing w:line="240" w:lineRule="exact"/>
              <w:rPr>
                <w:rFonts w:ascii="宋体" w:hAnsi="宋体"/>
                <w:color w:val="000000"/>
                <w:sz w:val="24"/>
                <w:szCs w:val="24"/>
              </w:rPr>
            </w:pPr>
            <w:r>
              <w:rPr>
                <w:rFonts w:hint="eastAsia" w:ascii="宋体" w:hAnsi="宋体"/>
                <w:color w:val="000000"/>
                <w:sz w:val="24"/>
                <w:szCs w:val="24"/>
              </w:rPr>
              <w:t>完整性审查</w:t>
            </w: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竞选文件份数</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75" w:type="dxa"/>
            <w:vMerge w:val="restart"/>
            <w:vAlign w:val="center"/>
          </w:tcPr>
          <w:p>
            <w:pPr>
              <w:spacing w:line="240" w:lineRule="exact"/>
              <w:jc w:val="center"/>
              <w:rPr>
                <w:rFonts w:ascii="宋体" w:hAnsi="宋体"/>
                <w:color w:val="000000"/>
                <w:sz w:val="24"/>
                <w:szCs w:val="24"/>
              </w:rPr>
            </w:pPr>
            <w:r>
              <w:rPr>
                <w:rFonts w:hint="eastAsia" w:ascii="宋体" w:hAnsi="宋体"/>
                <w:color w:val="000000"/>
                <w:sz w:val="24"/>
                <w:szCs w:val="24"/>
              </w:rPr>
              <w:t>3</w:t>
            </w:r>
          </w:p>
        </w:tc>
        <w:tc>
          <w:tcPr>
            <w:tcW w:w="1573" w:type="dxa"/>
            <w:vMerge w:val="restart"/>
            <w:vAlign w:val="center"/>
          </w:tcPr>
          <w:p>
            <w:pPr>
              <w:spacing w:line="240" w:lineRule="exact"/>
              <w:rPr>
                <w:rFonts w:ascii="宋体" w:hAnsi="宋体"/>
                <w:color w:val="000000"/>
                <w:sz w:val="24"/>
                <w:szCs w:val="24"/>
              </w:rPr>
            </w:pPr>
            <w:r>
              <w:rPr>
                <w:rFonts w:hint="eastAsia" w:ascii="宋体" w:hAnsi="宋体"/>
                <w:color w:val="000000"/>
                <w:sz w:val="24"/>
                <w:szCs w:val="24"/>
              </w:rPr>
              <w:t>竞争性比选文件的响应程度审查</w:t>
            </w: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竞选文件内容</w:t>
            </w:r>
          </w:p>
        </w:tc>
        <w:tc>
          <w:tcPr>
            <w:tcW w:w="5441" w:type="dxa"/>
            <w:vAlign w:val="center"/>
          </w:tcPr>
          <w:p>
            <w:pPr>
              <w:pStyle w:val="35"/>
              <w:spacing w:line="240" w:lineRule="exact"/>
              <w:rPr>
                <w:rFonts w:ascii="宋体" w:hAnsi="宋体"/>
                <w:color w:val="000000"/>
                <w:sz w:val="24"/>
                <w:szCs w:val="24"/>
              </w:rPr>
            </w:pPr>
            <w:r>
              <w:rPr>
                <w:rFonts w:hint="eastAsia" w:ascii="宋体" w:hAnsi="宋体"/>
                <w:color w:val="000000"/>
                <w:sz w:val="24"/>
                <w:szCs w:val="24"/>
              </w:rPr>
              <w:t>对竞争性比选文件</w:t>
            </w:r>
            <w:r>
              <w:rPr>
                <w:rFonts w:hint="eastAsia" w:ascii="宋体" w:hAnsi="宋体"/>
                <w:color w:val="000000"/>
                <w:sz w:val="24"/>
                <w:szCs w:val="24"/>
                <w:u w:val="single"/>
              </w:rPr>
              <w:t>第二、三篇中★部分标注条款</w:t>
            </w:r>
            <w:r>
              <w:rPr>
                <w:rFonts w:hint="eastAsia" w:ascii="宋体" w:hAnsi="宋体"/>
                <w:color w:val="000000"/>
                <w:sz w:val="24"/>
                <w:szCs w:val="24"/>
              </w:rPr>
              <w:t>的内容作出实质性响应。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75" w:type="dxa"/>
            <w:vMerge w:val="continue"/>
            <w:vAlign w:val="center"/>
          </w:tcPr>
          <w:p>
            <w:pPr>
              <w:spacing w:line="240" w:lineRule="exact"/>
              <w:jc w:val="center"/>
              <w:rPr>
                <w:rFonts w:ascii="宋体" w:hAnsi="宋体"/>
                <w:color w:val="000000"/>
                <w:sz w:val="24"/>
                <w:szCs w:val="24"/>
              </w:rPr>
            </w:pPr>
          </w:p>
        </w:tc>
        <w:tc>
          <w:tcPr>
            <w:tcW w:w="1573" w:type="dxa"/>
            <w:vMerge w:val="continue"/>
            <w:vAlign w:val="center"/>
          </w:tcPr>
          <w:p>
            <w:pPr>
              <w:spacing w:line="240" w:lineRule="exact"/>
              <w:rPr>
                <w:rFonts w:ascii="宋体" w:hAnsi="宋体"/>
                <w:color w:val="000000"/>
                <w:sz w:val="24"/>
                <w:szCs w:val="24"/>
              </w:rPr>
            </w:pP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比选有效期</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满足竞争性比选文件规定。</w:t>
            </w:r>
          </w:p>
        </w:tc>
      </w:tr>
    </w:tbl>
    <w:p>
      <w:pPr>
        <w:spacing w:line="440" w:lineRule="exact"/>
        <w:ind w:firstLine="560" w:firstLineChars="200"/>
        <w:rPr>
          <w:rFonts w:ascii="宋体" w:hAnsi="宋体"/>
          <w:color w:val="000000"/>
          <w:szCs w:val="28"/>
        </w:rPr>
      </w:pPr>
      <w:r>
        <w:rPr>
          <w:rFonts w:hint="eastAsia" w:ascii="宋体" w:hAnsi="宋体"/>
          <w:color w:val="000000"/>
          <w:szCs w:val="28"/>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pPr>
        <w:spacing w:line="440" w:lineRule="exact"/>
        <w:ind w:firstLine="560" w:firstLineChars="200"/>
        <w:rPr>
          <w:rFonts w:ascii="宋体" w:hAnsi="宋体"/>
          <w:color w:val="000000"/>
          <w:szCs w:val="28"/>
        </w:rPr>
      </w:pPr>
      <w:r>
        <w:rPr>
          <w:rFonts w:hint="eastAsia" w:ascii="宋体" w:hAnsi="宋体"/>
          <w:color w:val="000000"/>
          <w:szCs w:val="28"/>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pPr>
        <w:spacing w:line="440" w:lineRule="exact"/>
        <w:ind w:firstLine="560" w:firstLineChars="200"/>
        <w:rPr>
          <w:rFonts w:ascii="宋体" w:hAnsi="宋体"/>
          <w:color w:val="000000"/>
          <w:szCs w:val="28"/>
        </w:rPr>
      </w:pPr>
      <w:r>
        <w:rPr>
          <w:rFonts w:hint="eastAsia" w:ascii="宋体" w:hAnsi="宋体"/>
          <w:color w:val="000000"/>
          <w:szCs w:val="28"/>
        </w:rPr>
        <w:t>5．在比选过程中比选的任何一方不得向他人透露与比选有关的服务资料、价格或其他信息。</w:t>
      </w:r>
    </w:p>
    <w:p>
      <w:pPr>
        <w:spacing w:line="440" w:lineRule="exact"/>
        <w:ind w:firstLine="560" w:firstLineChars="200"/>
        <w:rPr>
          <w:rFonts w:ascii="宋体" w:hAnsi="宋体"/>
          <w:color w:val="000000"/>
          <w:szCs w:val="28"/>
        </w:rPr>
      </w:pPr>
      <w:r>
        <w:rPr>
          <w:rFonts w:hint="eastAsia" w:ascii="宋体" w:hAnsi="宋体"/>
          <w:color w:val="000000"/>
          <w:szCs w:val="28"/>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资质、服务团队、设计思路等评定因素分别按照相应权重值计算分项得分后相加，满分为10</w:t>
      </w:r>
      <w:r>
        <w:rPr>
          <w:rFonts w:ascii="宋体" w:hAnsi="宋体"/>
          <w:color w:val="000000"/>
          <w:szCs w:val="28"/>
        </w:rPr>
        <w:t>0</w:t>
      </w:r>
      <w:r>
        <w:rPr>
          <w:rFonts w:hint="eastAsia" w:ascii="宋体" w:hAnsi="宋体"/>
          <w:color w:val="000000"/>
          <w:szCs w:val="28"/>
        </w:rPr>
        <w:t>分。（详见评审标准）。</w:t>
      </w:r>
    </w:p>
    <w:p>
      <w:pPr>
        <w:spacing w:line="440" w:lineRule="exact"/>
        <w:ind w:firstLine="560" w:firstLineChars="200"/>
        <w:rPr>
          <w:rFonts w:ascii="宋体" w:hAnsi="宋体"/>
          <w:color w:val="000000"/>
          <w:szCs w:val="28"/>
        </w:rPr>
      </w:pPr>
      <w:r>
        <w:rPr>
          <w:rFonts w:hint="eastAsia" w:ascii="宋体" w:hAnsi="宋体"/>
          <w:color w:val="000000"/>
          <w:szCs w:val="28"/>
        </w:rPr>
        <w:t>10．比选小组各成员独立对每个有效响应的文件进行评价、打分，然后汇总每个竞选人每项评分因素的得分，按评审后得分由高到低的排列顺序推荐综合得分排名前三的竞选人为本项目中选候选人，排名第一的为第一中选候选人。若竞选人的评审得分相同的，按照设计思路得分优劣顺序排列推荐。</w:t>
      </w:r>
    </w:p>
    <w:p>
      <w:pPr>
        <w:pStyle w:val="5"/>
        <w:spacing w:before="0" w:after="0" w:line="480" w:lineRule="exact"/>
        <w:rPr>
          <w:rFonts w:ascii="宋体" w:hAnsi="宋体"/>
          <w:color w:val="000000"/>
          <w:sz w:val="28"/>
          <w:szCs w:val="28"/>
        </w:rPr>
      </w:pPr>
      <w:bookmarkStart w:id="81" w:name="_Toc428437946"/>
      <w:bookmarkStart w:id="82" w:name="_Toc21532"/>
      <w:bookmarkStart w:id="83" w:name="_Toc29665"/>
      <w:r>
        <w:rPr>
          <w:rFonts w:hint="eastAsia" w:ascii="宋体" w:hAnsi="宋体"/>
          <w:color w:val="000000"/>
          <w:sz w:val="28"/>
          <w:szCs w:val="28"/>
        </w:rPr>
        <w:t>二、</w:t>
      </w:r>
      <w:bookmarkStart w:id="84" w:name="_Toc342913394"/>
      <w:bookmarkStart w:id="85" w:name="_Toc102227320"/>
      <w:r>
        <w:rPr>
          <w:rFonts w:hint="eastAsia" w:ascii="宋体" w:hAnsi="宋体"/>
          <w:color w:val="000000"/>
          <w:sz w:val="28"/>
          <w:szCs w:val="28"/>
        </w:rPr>
        <w:t>评审标准</w:t>
      </w:r>
      <w:bookmarkEnd w:id="81"/>
      <w:bookmarkEnd w:id="82"/>
      <w:bookmarkEnd w:id="83"/>
    </w:p>
    <w:tbl>
      <w:tblPr>
        <w:tblStyle w:val="67"/>
        <w:tblW w:w="9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1240"/>
        <w:gridCol w:w="1275"/>
        <w:gridCol w:w="496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441" w:type="dxa"/>
            <w:vAlign w:val="center"/>
          </w:tcPr>
          <w:p>
            <w:pPr>
              <w:jc w:val="center"/>
              <w:rPr>
                <w:b/>
                <w:sz w:val="24"/>
                <w:szCs w:val="24"/>
              </w:rPr>
            </w:pPr>
            <w:r>
              <w:rPr>
                <w:rFonts w:hint="eastAsia"/>
                <w:b/>
                <w:sz w:val="24"/>
                <w:szCs w:val="24"/>
              </w:rPr>
              <w:t>序号</w:t>
            </w:r>
          </w:p>
        </w:tc>
        <w:tc>
          <w:tcPr>
            <w:tcW w:w="1240" w:type="dxa"/>
            <w:vAlign w:val="center"/>
          </w:tcPr>
          <w:p>
            <w:pPr>
              <w:jc w:val="center"/>
              <w:rPr>
                <w:b/>
                <w:sz w:val="24"/>
                <w:szCs w:val="24"/>
              </w:rPr>
            </w:pPr>
            <w:r>
              <w:rPr>
                <w:rFonts w:hint="eastAsia"/>
                <w:b/>
                <w:sz w:val="24"/>
                <w:szCs w:val="24"/>
              </w:rPr>
              <w:t>评分因素及权值</w:t>
            </w:r>
          </w:p>
        </w:tc>
        <w:tc>
          <w:tcPr>
            <w:tcW w:w="1275" w:type="dxa"/>
            <w:vAlign w:val="center"/>
          </w:tcPr>
          <w:p>
            <w:pPr>
              <w:jc w:val="center"/>
              <w:rPr>
                <w:b/>
                <w:sz w:val="24"/>
                <w:szCs w:val="24"/>
              </w:rPr>
            </w:pPr>
            <w:r>
              <w:rPr>
                <w:rFonts w:hint="eastAsia"/>
                <w:b/>
                <w:sz w:val="24"/>
                <w:szCs w:val="24"/>
              </w:rPr>
              <w:t>分值</w:t>
            </w:r>
          </w:p>
        </w:tc>
        <w:tc>
          <w:tcPr>
            <w:tcW w:w="4962" w:type="dxa"/>
            <w:vAlign w:val="center"/>
          </w:tcPr>
          <w:p>
            <w:pPr>
              <w:jc w:val="center"/>
              <w:rPr>
                <w:b/>
                <w:sz w:val="24"/>
                <w:szCs w:val="24"/>
              </w:rPr>
            </w:pPr>
            <w:r>
              <w:rPr>
                <w:rFonts w:hint="eastAsia"/>
                <w:b/>
                <w:sz w:val="24"/>
                <w:szCs w:val="24"/>
              </w:rPr>
              <w:t>评审因素</w:t>
            </w:r>
          </w:p>
        </w:tc>
        <w:tc>
          <w:tcPr>
            <w:tcW w:w="1736" w:type="dxa"/>
            <w:vAlign w:val="center"/>
          </w:tcPr>
          <w:p>
            <w:pPr>
              <w:jc w:val="center"/>
              <w:rPr>
                <w:b/>
                <w:sz w:val="24"/>
                <w:szCs w:val="24"/>
              </w:rPr>
            </w:pPr>
            <w:r>
              <w:rPr>
                <w:rFonts w:hint="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9" w:hRule="atLeast"/>
          <w:jc w:val="center"/>
        </w:trPr>
        <w:tc>
          <w:tcPr>
            <w:tcW w:w="441" w:type="dxa"/>
            <w:vAlign w:val="center"/>
          </w:tcPr>
          <w:p>
            <w:pPr>
              <w:jc w:val="center"/>
              <w:rPr>
                <w:sz w:val="24"/>
                <w:szCs w:val="24"/>
              </w:rPr>
            </w:pPr>
            <w:r>
              <w:rPr>
                <w:rFonts w:hint="eastAsia"/>
                <w:sz w:val="24"/>
                <w:szCs w:val="24"/>
              </w:rPr>
              <w:t>1</w:t>
            </w:r>
          </w:p>
        </w:tc>
        <w:tc>
          <w:tcPr>
            <w:tcW w:w="1240" w:type="dxa"/>
            <w:vAlign w:val="center"/>
          </w:tcPr>
          <w:p>
            <w:pPr>
              <w:spacing w:line="360" w:lineRule="auto"/>
              <w:ind w:firstLine="28"/>
              <w:jc w:val="center"/>
              <w:rPr>
                <w:rFonts w:ascii="宋体" w:hAnsi="宋体" w:cs="宋体"/>
                <w:sz w:val="24"/>
                <w:szCs w:val="24"/>
              </w:rPr>
            </w:pPr>
            <w:r>
              <w:rPr>
                <w:rFonts w:hint="eastAsia" w:ascii="宋体" w:hAnsi="宋体" w:cs="宋体"/>
                <w:sz w:val="24"/>
                <w:szCs w:val="24"/>
              </w:rPr>
              <w:t>资质</w:t>
            </w:r>
          </w:p>
          <w:p>
            <w:pPr>
              <w:spacing w:line="360" w:lineRule="auto"/>
              <w:ind w:firstLine="28"/>
              <w:jc w:val="center"/>
              <w:rPr>
                <w:sz w:val="24"/>
                <w:szCs w:val="24"/>
              </w:rPr>
            </w:pPr>
            <w:r>
              <w:rPr>
                <w:rFonts w:hint="eastAsia" w:ascii="宋体" w:hAnsi="宋体" w:cs="宋体"/>
                <w:sz w:val="24"/>
                <w:szCs w:val="24"/>
              </w:rPr>
              <w:t>（</w:t>
            </w:r>
            <w:r>
              <w:rPr>
                <w:rFonts w:ascii="宋体" w:hAnsi="宋体" w:cs="宋体"/>
                <w:sz w:val="24"/>
                <w:szCs w:val="24"/>
              </w:rPr>
              <w:t>25</w:t>
            </w:r>
            <w:r>
              <w:rPr>
                <w:rFonts w:hint="eastAsia" w:ascii="宋体" w:hAnsi="宋体" w:cs="宋体"/>
                <w:sz w:val="24"/>
                <w:szCs w:val="24"/>
              </w:rPr>
              <w:t>%）</w:t>
            </w:r>
          </w:p>
        </w:tc>
        <w:tc>
          <w:tcPr>
            <w:tcW w:w="1275" w:type="dxa"/>
            <w:vAlign w:val="center"/>
          </w:tcPr>
          <w:p>
            <w:pPr>
              <w:spacing w:line="360" w:lineRule="auto"/>
              <w:jc w:val="center"/>
              <w:rPr>
                <w:sz w:val="24"/>
                <w:szCs w:val="24"/>
              </w:rPr>
            </w:pPr>
            <w:r>
              <w:rPr>
                <w:rFonts w:ascii="宋体" w:hAnsi="宋体" w:cs="宋体"/>
                <w:sz w:val="24"/>
                <w:szCs w:val="24"/>
              </w:rPr>
              <w:t>25</w:t>
            </w:r>
          </w:p>
        </w:tc>
        <w:tc>
          <w:tcPr>
            <w:tcW w:w="4962" w:type="dxa"/>
            <w:vAlign w:val="center"/>
          </w:tcPr>
          <w:p>
            <w:pPr>
              <w:spacing w:line="360" w:lineRule="auto"/>
              <w:rPr>
                <w:rFonts w:ascii="宋体" w:hAnsi="宋体" w:cs="宋体"/>
                <w:sz w:val="24"/>
                <w:szCs w:val="24"/>
              </w:rPr>
            </w:pPr>
            <w:r>
              <w:rPr>
                <w:rFonts w:hint="eastAsia" w:ascii="宋体" w:hAnsi="宋体" w:cs="宋体"/>
                <w:sz w:val="24"/>
                <w:szCs w:val="24"/>
              </w:rPr>
              <w:t>1.供应商具有中国工程咨询协会颁发的工程咨询单位甲级资信证书，得10分；</w:t>
            </w:r>
          </w:p>
          <w:p>
            <w:pPr>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.供应商具备国家信息安全测评中心颁发的信息安全工程类一级及以上证书，得</w:t>
            </w:r>
            <w:r>
              <w:rPr>
                <w:rFonts w:ascii="宋体" w:hAnsi="宋体" w:cs="宋体"/>
                <w:sz w:val="24"/>
                <w:szCs w:val="24"/>
              </w:rPr>
              <w:t>10</w:t>
            </w:r>
            <w:r>
              <w:rPr>
                <w:rFonts w:hint="eastAsia" w:ascii="宋体" w:hAnsi="宋体" w:cs="宋体"/>
                <w:sz w:val="24"/>
                <w:szCs w:val="24"/>
              </w:rPr>
              <w:t>分。</w:t>
            </w:r>
          </w:p>
          <w:p>
            <w:pPr>
              <w:spacing w:line="360" w:lineRule="auto"/>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.供应商具备CNAS中国</w:t>
            </w:r>
            <w:r>
              <w:rPr>
                <w:rFonts w:ascii="宋体" w:hAnsi="宋体" w:cs="宋体"/>
                <w:sz w:val="24"/>
                <w:szCs w:val="24"/>
              </w:rPr>
              <w:t>合格评定国家认可委员会检验机构认可证书</w:t>
            </w:r>
            <w:r>
              <w:rPr>
                <w:rFonts w:hint="eastAsia" w:ascii="宋体" w:hAnsi="宋体" w:cs="宋体"/>
                <w:sz w:val="24"/>
                <w:szCs w:val="24"/>
              </w:rPr>
              <w:t>的，得5分。</w:t>
            </w:r>
          </w:p>
          <w:p>
            <w:pPr>
              <w:spacing w:line="360" w:lineRule="auto"/>
              <w:rPr>
                <w:rFonts w:ascii="宋体" w:hAnsi="宋体"/>
                <w:sz w:val="24"/>
                <w:szCs w:val="24"/>
              </w:rPr>
            </w:pPr>
          </w:p>
        </w:tc>
        <w:tc>
          <w:tcPr>
            <w:tcW w:w="1736" w:type="dxa"/>
            <w:vAlign w:val="center"/>
          </w:tcPr>
          <w:p>
            <w:pPr>
              <w:ind w:left="126" w:leftChars="45" w:right="160" w:rightChars="57"/>
              <w:rPr>
                <w:sz w:val="24"/>
                <w:szCs w:val="24"/>
              </w:rPr>
            </w:pPr>
            <w:r>
              <w:rPr>
                <w:rFonts w:hint="eastAsia" w:ascii="宋体" w:hAnsi="宋体" w:cs="宋体"/>
                <w:sz w:val="24"/>
                <w:szCs w:val="24"/>
              </w:rPr>
              <w:t>提供相应证书复印件并加盖供应商公章。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7" w:hRule="atLeast"/>
          <w:jc w:val="center"/>
        </w:trPr>
        <w:tc>
          <w:tcPr>
            <w:tcW w:w="441" w:type="dxa"/>
            <w:vMerge w:val="restart"/>
            <w:vAlign w:val="center"/>
          </w:tcPr>
          <w:p>
            <w:pPr>
              <w:jc w:val="center"/>
              <w:rPr>
                <w:sz w:val="24"/>
                <w:szCs w:val="24"/>
              </w:rPr>
            </w:pPr>
            <w:r>
              <w:rPr>
                <w:rFonts w:hint="eastAsia"/>
                <w:sz w:val="24"/>
                <w:szCs w:val="24"/>
              </w:rPr>
              <w:t>2</w:t>
            </w:r>
          </w:p>
        </w:tc>
        <w:tc>
          <w:tcPr>
            <w:tcW w:w="1240" w:type="dxa"/>
            <w:tcBorders>
              <w:bottom w:val="single" w:color="auto" w:sz="4" w:space="0"/>
            </w:tcBorders>
            <w:vAlign w:val="center"/>
          </w:tcPr>
          <w:p>
            <w:pPr>
              <w:spacing w:line="360" w:lineRule="auto"/>
              <w:ind w:firstLine="28"/>
              <w:jc w:val="center"/>
              <w:rPr>
                <w:rFonts w:ascii="宋体" w:hAnsi="宋体" w:cs="宋体"/>
                <w:sz w:val="24"/>
                <w:szCs w:val="24"/>
              </w:rPr>
            </w:pPr>
          </w:p>
          <w:p>
            <w:pPr>
              <w:spacing w:line="360" w:lineRule="auto"/>
              <w:ind w:firstLine="28"/>
              <w:jc w:val="center"/>
              <w:rPr>
                <w:rFonts w:ascii="宋体" w:hAnsi="宋体" w:cs="宋体"/>
                <w:sz w:val="24"/>
                <w:szCs w:val="24"/>
              </w:rPr>
            </w:pPr>
            <w:r>
              <w:rPr>
                <w:rFonts w:hint="eastAsia" w:ascii="宋体" w:hAnsi="宋体" w:cs="宋体"/>
                <w:sz w:val="24"/>
                <w:szCs w:val="24"/>
              </w:rPr>
              <w:t>业绩</w:t>
            </w:r>
          </w:p>
          <w:p>
            <w:pPr>
              <w:spacing w:line="360" w:lineRule="auto"/>
              <w:ind w:firstLine="28"/>
              <w:jc w:val="center"/>
              <w:rPr>
                <w:sz w:val="24"/>
                <w:szCs w:val="24"/>
              </w:rPr>
            </w:pPr>
            <w:r>
              <w:rPr>
                <w:rFonts w:hint="eastAsia" w:ascii="宋体" w:hAnsi="宋体" w:cs="宋体"/>
                <w:sz w:val="24"/>
                <w:szCs w:val="24"/>
              </w:rPr>
              <w:t>（</w:t>
            </w:r>
            <w:r>
              <w:rPr>
                <w:rFonts w:ascii="宋体" w:hAnsi="宋体" w:cs="宋体"/>
                <w:sz w:val="24"/>
                <w:szCs w:val="24"/>
              </w:rPr>
              <w:t>20</w:t>
            </w:r>
            <w:r>
              <w:rPr>
                <w:rFonts w:hint="eastAsia" w:ascii="宋体" w:hAnsi="宋体" w:cs="宋体"/>
                <w:sz w:val="24"/>
                <w:szCs w:val="24"/>
              </w:rPr>
              <w:t>%）</w:t>
            </w:r>
          </w:p>
        </w:tc>
        <w:tc>
          <w:tcPr>
            <w:tcW w:w="1275" w:type="dxa"/>
            <w:tcBorders>
              <w:bottom w:val="single" w:color="auto" w:sz="4" w:space="0"/>
            </w:tcBorders>
            <w:vAlign w:val="center"/>
          </w:tcPr>
          <w:p>
            <w:pPr>
              <w:spacing w:line="360" w:lineRule="auto"/>
              <w:jc w:val="center"/>
              <w:rPr>
                <w:rFonts w:ascii="宋体" w:hAnsi="宋体" w:cs="宋体"/>
                <w:sz w:val="24"/>
                <w:szCs w:val="24"/>
              </w:rPr>
            </w:pPr>
          </w:p>
          <w:p>
            <w:pPr>
              <w:spacing w:line="360" w:lineRule="auto"/>
              <w:jc w:val="center"/>
              <w:rPr>
                <w:sz w:val="24"/>
                <w:szCs w:val="24"/>
              </w:rPr>
            </w:pPr>
            <w:r>
              <w:rPr>
                <w:rFonts w:ascii="宋体" w:hAnsi="宋体" w:cs="宋体"/>
                <w:sz w:val="24"/>
                <w:szCs w:val="24"/>
              </w:rPr>
              <w:t>20</w:t>
            </w:r>
          </w:p>
        </w:tc>
        <w:tc>
          <w:tcPr>
            <w:tcW w:w="4962" w:type="dxa"/>
            <w:tcBorders>
              <w:bottom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1.2018年1月1日（以合同签订日期为准）以来，供应商承担过省部级及以上政府部门的信息化项目初步设计方案及概算项目设计案例，每提供1个案例得</w:t>
            </w:r>
            <w:r>
              <w:rPr>
                <w:rFonts w:ascii="宋体" w:hAnsi="宋体" w:cs="宋体"/>
                <w:sz w:val="24"/>
                <w:szCs w:val="24"/>
              </w:rPr>
              <w:t>2</w:t>
            </w:r>
            <w:r>
              <w:rPr>
                <w:rFonts w:hint="eastAsia" w:ascii="宋体" w:hAnsi="宋体" w:cs="宋体"/>
                <w:sz w:val="24"/>
                <w:szCs w:val="24"/>
              </w:rPr>
              <w:t>分，最多得</w:t>
            </w:r>
            <w:r>
              <w:rPr>
                <w:rFonts w:ascii="宋体" w:hAnsi="宋体" w:cs="宋体"/>
                <w:sz w:val="24"/>
                <w:szCs w:val="24"/>
              </w:rPr>
              <w:t>10</w:t>
            </w:r>
            <w:r>
              <w:rPr>
                <w:rFonts w:hint="eastAsia" w:ascii="宋体" w:hAnsi="宋体" w:cs="宋体"/>
                <w:sz w:val="24"/>
                <w:szCs w:val="24"/>
              </w:rPr>
              <w:t>分。</w:t>
            </w:r>
          </w:p>
          <w:p>
            <w:pPr>
              <w:spacing w:line="360" w:lineRule="auto"/>
              <w:rPr>
                <w:rFonts w:ascii="宋体" w:hAnsi="宋体"/>
                <w:sz w:val="24"/>
                <w:szCs w:val="24"/>
              </w:rPr>
            </w:pPr>
            <w:r>
              <w:rPr>
                <w:rFonts w:hint="eastAsia" w:ascii="宋体" w:hAnsi="宋体" w:cs="宋体"/>
                <w:sz w:val="24"/>
                <w:szCs w:val="24"/>
              </w:rPr>
              <w:t>2. 2018年1月1日（以合同签订日期为准）以来，供应商承担过统计局相关信息化项目设计案例，每提供1个案例得5分，最多得1</w:t>
            </w:r>
            <w:r>
              <w:rPr>
                <w:rFonts w:ascii="宋体" w:hAnsi="宋体" w:cs="宋体"/>
                <w:sz w:val="24"/>
                <w:szCs w:val="24"/>
              </w:rPr>
              <w:t>0</w:t>
            </w:r>
            <w:r>
              <w:rPr>
                <w:rFonts w:hint="eastAsia" w:ascii="宋体" w:hAnsi="宋体" w:cs="宋体"/>
                <w:sz w:val="24"/>
                <w:szCs w:val="24"/>
              </w:rPr>
              <w:t>分。</w:t>
            </w:r>
          </w:p>
        </w:tc>
        <w:tc>
          <w:tcPr>
            <w:tcW w:w="1736" w:type="dxa"/>
            <w:tcBorders>
              <w:bottom w:val="single" w:color="auto" w:sz="4" w:space="0"/>
            </w:tcBorders>
            <w:vAlign w:val="center"/>
          </w:tcPr>
          <w:p>
            <w:pPr>
              <w:spacing w:line="360" w:lineRule="auto"/>
              <w:ind w:left="-40"/>
              <w:jc w:val="center"/>
              <w:rPr>
                <w:rFonts w:ascii="宋体" w:hAnsi="宋体"/>
                <w:sz w:val="24"/>
                <w:szCs w:val="24"/>
              </w:rPr>
            </w:pPr>
            <w:r>
              <w:rPr>
                <w:rFonts w:hint="eastAsia" w:ascii="宋体" w:hAnsi="宋体" w:cs="宋体"/>
                <w:sz w:val="24"/>
                <w:szCs w:val="24"/>
              </w:rPr>
              <w:t>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9" w:hRule="atLeast"/>
          <w:jc w:val="center"/>
        </w:trPr>
        <w:tc>
          <w:tcPr>
            <w:tcW w:w="441" w:type="dxa"/>
            <w:vMerge w:val="continue"/>
            <w:vAlign w:val="center"/>
          </w:tcPr>
          <w:p>
            <w:pPr>
              <w:jc w:val="center"/>
              <w:rPr>
                <w:sz w:val="24"/>
                <w:szCs w:val="24"/>
              </w:rPr>
            </w:pPr>
          </w:p>
        </w:tc>
        <w:tc>
          <w:tcPr>
            <w:tcW w:w="1240" w:type="dxa"/>
            <w:vMerge w:val="restart"/>
            <w:tcBorders>
              <w:top w:val="single" w:color="auto" w:sz="4" w:space="0"/>
            </w:tcBorders>
            <w:vAlign w:val="center"/>
          </w:tcPr>
          <w:p>
            <w:pPr>
              <w:spacing w:line="360" w:lineRule="auto"/>
              <w:ind w:firstLine="28"/>
              <w:jc w:val="center"/>
              <w:rPr>
                <w:rFonts w:ascii="宋体" w:hAnsi="宋体" w:cs="宋体"/>
                <w:sz w:val="24"/>
                <w:szCs w:val="24"/>
              </w:rPr>
            </w:pPr>
          </w:p>
          <w:p>
            <w:pPr>
              <w:spacing w:line="360" w:lineRule="auto"/>
              <w:ind w:firstLine="28"/>
              <w:jc w:val="center"/>
              <w:rPr>
                <w:rFonts w:ascii="宋体" w:hAnsi="宋体" w:cs="宋体"/>
                <w:sz w:val="24"/>
                <w:szCs w:val="24"/>
              </w:rPr>
            </w:pPr>
            <w:r>
              <w:rPr>
                <w:rFonts w:hint="eastAsia" w:ascii="宋体" w:hAnsi="宋体" w:cs="宋体"/>
                <w:sz w:val="24"/>
                <w:szCs w:val="24"/>
              </w:rPr>
              <w:t>服务团队</w:t>
            </w:r>
          </w:p>
          <w:p>
            <w:pPr>
              <w:spacing w:line="360" w:lineRule="auto"/>
              <w:ind w:firstLine="28"/>
              <w:jc w:val="center"/>
              <w:rPr>
                <w:sz w:val="24"/>
                <w:szCs w:val="24"/>
              </w:rPr>
            </w:pPr>
            <w:r>
              <w:rPr>
                <w:rFonts w:hint="eastAsia" w:ascii="宋体" w:hAnsi="宋体" w:cs="宋体"/>
                <w:sz w:val="24"/>
                <w:szCs w:val="24"/>
              </w:rPr>
              <w:t>（15%）</w:t>
            </w:r>
          </w:p>
        </w:tc>
        <w:tc>
          <w:tcPr>
            <w:tcW w:w="1275" w:type="dxa"/>
            <w:vMerge w:val="restart"/>
            <w:tcBorders>
              <w:top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4962" w:type="dxa"/>
            <w:tcBorders>
              <w:top w:val="single" w:color="auto" w:sz="4" w:space="0"/>
            </w:tcBorders>
            <w:vAlign w:val="center"/>
          </w:tcPr>
          <w:p>
            <w:pPr>
              <w:spacing w:line="360" w:lineRule="auto"/>
              <w:rPr>
                <w:rFonts w:ascii="宋体" w:hAnsi="宋体"/>
                <w:sz w:val="24"/>
                <w:szCs w:val="24"/>
              </w:rPr>
            </w:pPr>
            <w:r>
              <w:rPr>
                <w:rFonts w:hint="eastAsia" w:ascii="宋体" w:hAnsi="宋体" w:cs="宋体"/>
                <w:sz w:val="24"/>
                <w:szCs w:val="24"/>
              </w:rPr>
              <w:t>1.项目负责人具有各级人力资源和社会保障部门或职称改革办公室颁发的高级及以上工程师职称且201</w:t>
            </w:r>
            <w:r>
              <w:rPr>
                <w:rFonts w:ascii="宋体" w:hAnsi="宋体" w:cs="宋体"/>
                <w:sz w:val="24"/>
                <w:szCs w:val="24"/>
              </w:rPr>
              <w:t>8</w:t>
            </w:r>
            <w:r>
              <w:rPr>
                <w:rFonts w:hint="eastAsia" w:ascii="宋体" w:hAnsi="宋体" w:cs="宋体"/>
                <w:sz w:val="24"/>
                <w:szCs w:val="24"/>
              </w:rPr>
              <w:t>年1月1日以来担任过省部级（含直属单位）信息化项目设计的项目负责人的，得5分，其它不得分。</w:t>
            </w:r>
          </w:p>
        </w:tc>
        <w:tc>
          <w:tcPr>
            <w:tcW w:w="1736" w:type="dxa"/>
            <w:tcBorders>
              <w:top w:val="single" w:color="auto" w:sz="4" w:space="0"/>
            </w:tcBorders>
            <w:vAlign w:val="center"/>
          </w:tcPr>
          <w:p>
            <w:pPr>
              <w:spacing w:line="360" w:lineRule="auto"/>
              <w:ind w:left="-40"/>
              <w:rPr>
                <w:rFonts w:ascii="宋体" w:hAnsi="宋体" w:cs="宋体"/>
                <w:sz w:val="24"/>
                <w:szCs w:val="24"/>
              </w:rPr>
            </w:pPr>
            <w:r>
              <w:rPr>
                <w:rFonts w:hint="eastAsia" w:ascii="宋体" w:hAnsi="宋体" w:cs="宋体"/>
                <w:sz w:val="24"/>
                <w:szCs w:val="24"/>
              </w:rPr>
              <w:t>1.提供设计合同复印件或业主证明材料原件。</w:t>
            </w:r>
          </w:p>
          <w:p>
            <w:pPr>
              <w:spacing w:line="360" w:lineRule="auto"/>
              <w:ind w:left="-40"/>
              <w:rPr>
                <w:rFonts w:ascii="宋体" w:hAnsi="宋体"/>
                <w:sz w:val="24"/>
                <w:szCs w:val="24"/>
              </w:rPr>
            </w:pPr>
            <w:r>
              <w:rPr>
                <w:rFonts w:hint="eastAsia" w:ascii="宋体" w:hAnsi="宋体" w:cs="宋体"/>
                <w:sz w:val="24"/>
                <w:szCs w:val="24"/>
              </w:rPr>
              <w:t>2.提供职称证书复印件并加盖供应商公章。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9" w:hRule="atLeast"/>
          <w:jc w:val="center"/>
        </w:trPr>
        <w:tc>
          <w:tcPr>
            <w:tcW w:w="441" w:type="dxa"/>
            <w:vMerge w:val="continue"/>
            <w:vAlign w:val="center"/>
          </w:tcPr>
          <w:p>
            <w:pPr>
              <w:jc w:val="center"/>
              <w:rPr>
                <w:sz w:val="24"/>
                <w:szCs w:val="24"/>
              </w:rPr>
            </w:pPr>
          </w:p>
        </w:tc>
        <w:tc>
          <w:tcPr>
            <w:tcW w:w="1240" w:type="dxa"/>
            <w:vMerge w:val="continue"/>
            <w:vAlign w:val="center"/>
          </w:tcPr>
          <w:p>
            <w:pPr>
              <w:jc w:val="center"/>
              <w:rPr>
                <w:sz w:val="24"/>
                <w:szCs w:val="24"/>
              </w:rPr>
            </w:pPr>
          </w:p>
        </w:tc>
        <w:tc>
          <w:tcPr>
            <w:tcW w:w="1275" w:type="dxa"/>
            <w:vMerge w:val="continue"/>
            <w:vAlign w:val="center"/>
          </w:tcPr>
          <w:p>
            <w:pPr>
              <w:ind w:firstLine="28"/>
              <w:jc w:val="center"/>
              <w:rPr>
                <w:rFonts w:ascii="宋体" w:hAnsi="宋体" w:eastAsia="黑体"/>
                <w:sz w:val="24"/>
                <w:szCs w:val="24"/>
              </w:rPr>
            </w:pPr>
          </w:p>
        </w:tc>
        <w:tc>
          <w:tcPr>
            <w:tcW w:w="4962" w:type="dxa"/>
            <w:vAlign w:val="center"/>
          </w:tcPr>
          <w:p>
            <w:pPr>
              <w:spacing w:line="360" w:lineRule="auto"/>
              <w:rPr>
                <w:rFonts w:ascii="宋体" w:hAnsi="宋体"/>
                <w:sz w:val="24"/>
                <w:szCs w:val="24"/>
              </w:rPr>
            </w:pPr>
            <w:r>
              <w:rPr>
                <w:rFonts w:hint="eastAsia" w:ascii="宋体" w:hAnsi="宋体" w:cs="宋体"/>
                <w:sz w:val="24"/>
                <w:szCs w:val="24"/>
              </w:rPr>
              <w:t>2.针对本项目服务团队中，项目负责人以外，其他服务团队成员，具有1名各级人力资源和社会保障部门或职称改革办公室颁发的通信或信息工程或电子信息职称的高级及以上工程师得</w:t>
            </w:r>
            <w:r>
              <w:rPr>
                <w:rFonts w:ascii="宋体" w:hAnsi="宋体" w:cs="宋体"/>
                <w:sz w:val="24"/>
                <w:szCs w:val="24"/>
              </w:rPr>
              <w:t>2</w:t>
            </w:r>
            <w:r>
              <w:rPr>
                <w:rFonts w:hint="eastAsia" w:ascii="宋体" w:hAnsi="宋体" w:cs="宋体"/>
                <w:sz w:val="24"/>
                <w:szCs w:val="24"/>
              </w:rPr>
              <w:t>分，本项最多得</w:t>
            </w:r>
            <w:r>
              <w:rPr>
                <w:rFonts w:ascii="宋体" w:hAnsi="宋体" w:cs="宋体"/>
                <w:sz w:val="24"/>
                <w:szCs w:val="24"/>
              </w:rPr>
              <w:t>1</w:t>
            </w:r>
            <w:r>
              <w:rPr>
                <w:rFonts w:hint="eastAsia" w:ascii="宋体" w:hAnsi="宋体" w:cs="宋体"/>
                <w:sz w:val="24"/>
                <w:szCs w:val="24"/>
              </w:rPr>
              <w:t>0分。</w:t>
            </w:r>
          </w:p>
        </w:tc>
        <w:tc>
          <w:tcPr>
            <w:tcW w:w="1736" w:type="dxa"/>
            <w:vAlign w:val="center"/>
          </w:tcPr>
          <w:p>
            <w:pPr>
              <w:spacing w:line="360" w:lineRule="auto"/>
              <w:ind w:left="-40"/>
              <w:rPr>
                <w:rFonts w:ascii="宋体" w:hAnsi="宋体"/>
                <w:sz w:val="24"/>
                <w:szCs w:val="24"/>
              </w:rPr>
            </w:pPr>
            <w:r>
              <w:rPr>
                <w:rFonts w:hint="eastAsia" w:ascii="宋体" w:hAnsi="宋体" w:cs="宋体"/>
                <w:sz w:val="24"/>
                <w:szCs w:val="24"/>
              </w:rPr>
              <w:t>提供职称证书及近三个月（2021年2月至2021年4月）供应商为其服务团队职工缴纳社保的证明材料复印件并均加盖供应商公章。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7" w:hRule="atLeast"/>
          <w:jc w:val="center"/>
        </w:trPr>
        <w:tc>
          <w:tcPr>
            <w:tcW w:w="441" w:type="dxa"/>
            <w:vMerge w:val="continue"/>
            <w:vAlign w:val="center"/>
          </w:tcPr>
          <w:p>
            <w:pPr>
              <w:jc w:val="center"/>
              <w:rPr>
                <w:sz w:val="24"/>
                <w:szCs w:val="24"/>
              </w:rPr>
            </w:pPr>
          </w:p>
        </w:tc>
        <w:tc>
          <w:tcPr>
            <w:tcW w:w="1240" w:type="dxa"/>
            <w:vMerge w:val="restart"/>
            <w:vAlign w:val="center"/>
          </w:tcPr>
          <w:p>
            <w:pPr>
              <w:spacing w:line="360" w:lineRule="auto"/>
              <w:ind w:firstLine="28"/>
              <w:jc w:val="center"/>
              <w:rPr>
                <w:rFonts w:ascii="宋体" w:hAnsi="宋体" w:cs="宋体"/>
                <w:sz w:val="24"/>
                <w:szCs w:val="24"/>
              </w:rPr>
            </w:pPr>
            <w:r>
              <w:rPr>
                <w:rFonts w:hint="eastAsia" w:ascii="宋体" w:hAnsi="宋体" w:cs="宋体"/>
                <w:sz w:val="24"/>
                <w:szCs w:val="24"/>
              </w:rPr>
              <w:t>设计思路阐述</w:t>
            </w:r>
          </w:p>
          <w:p>
            <w:pPr>
              <w:spacing w:line="360" w:lineRule="auto"/>
              <w:ind w:firstLine="28"/>
              <w:jc w:val="center"/>
              <w:rPr>
                <w:sz w:val="24"/>
                <w:szCs w:val="24"/>
              </w:rPr>
            </w:pPr>
            <w:r>
              <w:rPr>
                <w:rFonts w:hint="eastAsia" w:ascii="宋体" w:hAnsi="宋体" w:cs="宋体"/>
                <w:sz w:val="24"/>
                <w:szCs w:val="24"/>
              </w:rPr>
              <w:t>（4</w:t>
            </w:r>
            <w:r>
              <w:rPr>
                <w:rFonts w:ascii="宋体" w:hAnsi="宋体" w:cs="宋体"/>
                <w:sz w:val="24"/>
                <w:szCs w:val="24"/>
              </w:rPr>
              <w:t>0</w:t>
            </w:r>
            <w:r>
              <w:rPr>
                <w:rFonts w:hint="eastAsia" w:ascii="宋体" w:hAnsi="宋体" w:cs="宋体"/>
                <w:sz w:val="24"/>
                <w:szCs w:val="24"/>
              </w:rPr>
              <w:t>%）</w:t>
            </w:r>
          </w:p>
        </w:tc>
        <w:tc>
          <w:tcPr>
            <w:tcW w:w="6237" w:type="dxa"/>
            <w:gridSpan w:val="2"/>
            <w:vAlign w:val="center"/>
          </w:tcPr>
          <w:p>
            <w:pPr>
              <w:spacing w:line="360" w:lineRule="auto"/>
              <w:rPr>
                <w:rFonts w:ascii="宋体" w:hAnsi="宋体"/>
                <w:sz w:val="24"/>
                <w:szCs w:val="24"/>
              </w:rPr>
            </w:pPr>
            <w:r>
              <w:rPr>
                <w:rFonts w:hint="eastAsia" w:ascii="宋体" w:hAnsi="宋体"/>
                <w:sz w:val="24"/>
                <w:szCs w:val="24"/>
              </w:rPr>
              <w:t>供应商就本项目文字阐述设计工作思路，须体现下列评审因素：</w:t>
            </w:r>
          </w:p>
        </w:tc>
        <w:tc>
          <w:tcPr>
            <w:tcW w:w="1736" w:type="dxa"/>
            <w:vMerge w:val="restart"/>
            <w:vAlign w:val="center"/>
          </w:tcPr>
          <w:p>
            <w:pPr>
              <w:ind w:left="126" w:leftChars="45" w:right="126" w:rightChars="45"/>
              <w:rPr>
                <w:rFonts w:ascii="宋体" w:hAnsi="宋体"/>
                <w:sz w:val="24"/>
                <w:szCs w:val="24"/>
              </w:rPr>
            </w:pPr>
            <w:r>
              <w:rPr>
                <w:rFonts w:hint="eastAsia" w:ascii="宋体" w:hAnsi="宋体"/>
                <w:sz w:val="24"/>
                <w:szCs w:val="24"/>
              </w:rPr>
              <w:t>根据各供应商所提供设计服务方案独立评分。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38" w:hRule="atLeast"/>
          <w:jc w:val="center"/>
        </w:trPr>
        <w:tc>
          <w:tcPr>
            <w:tcW w:w="441" w:type="dxa"/>
            <w:vMerge w:val="continue"/>
            <w:vAlign w:val="center"/>
          </w:tcPr>
          <w:p>
            <w:pPr>
              <w:jc w:val="center"/>
              <w:rPr>
                <w:sz w:val="24"/>
                <w:szCs w:val="24"/>
              </w:rPr>
            </w:pPr>
          </w:p>
        </w:tc>
        <w:tc>
          <w:tcPr>
            <w:tcW w:w="1240" w:type="dxa"/>
            <w:vMerge w:val="continue"/>
            <w:vAlign w:val="center"/>
          </w:tcPr>
          <w:p>
            <w:pPr>
              <w:spacing w:line="360" w:lineRule="auto"/>
              <w:ind w:firstLine="28"/>
              <w:jc w:val="center"/>
              <w:rPr>
                <w:rFonts w:ascii="宋体" w:hAnsi="宋体" w:cs="宋体"/>
                <w:sz w:val="24"/>
                <w:szCs w:val="24"/>
              </w:rPr>
            </w:pPr>
          </w:p>
        </w:tc>
        <w:tc>
          <w:tcPr>
            <w:tcW w:w="1275" w:type="dxa"/>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4962" w:type="dxa"/>
            <w:vAlign w:val="center"/>
          </w:tcPr>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设计思路能准确、完整地描述重庆市统计大数据平台建设项目的建设思路：包括建设依据、建设需求、内容规模、建设目标、应用效果、技术方案、实施进度、人员配置与培训、初步设计及概算、风险及效益分析等，根据方案阐述情况得分（优得</w:t>
            </w:r>
            <w:r>
              <w:rPr>
                <w:rFonts w:ascii="宋体" w:hAnsi="宋体" w:cs="宋体"/>
                <w:sz w:val="24"/>
                <w:szCs w:val="24"/>
              </w:rPr>
              <w:t>20</w:t>
            </w:r>
            <w:r>
              <w:rPr>
                <w:rFonts w:hint="eastAsia" w:ascii="宋体" w:hAnsi="宋体" w:cs="宋体"/>
                <w:sz w:val="24"/>
                <w:szCs w:val="24"/>
              </w:rPr>
              <w:t>分，良得</w:t>
            </w:r>
            <w:r>
              <w:rPr>
                <w:rFonts w:ascii="宋体" w:hAnsi="宋体" w:cs="宋体"/>
                <w:sz w:val="24"/>
                <w:szCs w:val="24"/>
              </w:rPr>
              <w:t>15</w:t>
            </w:r>
            <w:r>
              <w:rPr>
                <w:rFonts w:hint="eastAsia" w:ascii="宋体" w:hAnsi="宋体" w:cs="宋体"/>
                <w:sz w:val="24"/>
                <w:szCs w:val="24"/>
              </w:rPr>
              <w:t>分，中得</w:t>
            </w:r>
            <w:r>
              <w:rPr>
                <w:rFonts w:ascii="宋体" w:hAnsi="宋体" w:cs="宋体"/>
                <w:sz w:val="24"/>
                <w:szCs w:val="24"/>
              </w:rPr>
              <w:t>10</w:t>
            </w:r>
            <w:r>
              <w:rPr>
                <w:rFonts w:hint="eastAsia" w:ascii="宋体" w:hAnsi="宋体" w:cs="宋体"/>
                <w:sz w:val="24"/>
                <w:szCs w:val="24"/>
              </w:rPr>
              <w:t>分，差得</w:t>
            </w:r>
            <w:r>
              <w:rPr>
                <w:rFonts w:ascii="宋体" w:hAnsi="宋体" w:cs="宋体"/>
                <w:sz w:val="24"/>
                <w:szCs w:val="24"/>
              </w:rPr>
              <w:t>5</w:t>
            </w:r>
            <w:r>
              <w:rPr>
                <w:rFonts w:hint="eastAsia" w:ascii="宋体" w:hAnsi="宋体" w:cs="宋体"/>
                <w:sz w:val="24"/>
                <w:szCs w:val="24"/>
              </w:rPr>
              <w:t>分，无或不符合得0分）。</w:t>
            </w:r>
          </w:p>
        </w:tc>
        <w:tc>
          <w:tcPr>
            <w:tcW w:w="1736" w:type="dxa"/>
            <w:vMerge w:val="continue"/>
            <w:vAlign w:val="center"/>
          </w:tcPr>
          <w:p>
            <w:pPr>
              <w:ind w:left="126" w:leftChars="45" w:right="126" w:rightChars="4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9" w:hRule="atLeast"/>
          <w:jc w:val="center"/>
        </w:trPr>
        <w:tc>
          <w:tcPr>
            <w:tcW w:w="441" w:type="dxa"/>
            <w:vMerge w:val="continue"/>
            <w:vAlign w:val="center"/>
          </w:tcPr>
          <w:p>
            <w:pPr>
              <w:jc w:val="center"/>
              <w:rPr>
                <w:sz w:val="24"/>
                <w:szCs w:val="24"/>
              </w:rPr>
            </w:pPr>
          </w:p>
        </w:tc>
        <w:tc>
          <w:tcPr>
            <w:tcW w:w="1240" w:type="dxa"/>
            <w:vMerge w:val="continue"/>
            <w:vAlign w:val="center"/>
          </w:tcPr>
          <w:p>
            <w:pPr>
              <w:spacing w:line="360" w:lineRule="auto"/>
              <w:ind w:firstLine="28"/>
              <w:jc w:val="center"/>
              <w:rPr>
                <w:sz w:val="24"/>
                <w:szCs w:val="24"/>
              </w:rPr>
            </w:pPr>
          </w:p>
        </w:tc>
        <w:tc>
          <w:tcPr>
            <w:tcW w:w="1275" w:type="dxa"/>
            <w:vAlign w:val="center"/>
          </w:tcPr>
          <w:p>
            <w:pPr>
              <w:spacing w:line="360" w:lineRule="auto"/>
              <w:jc w:val="center"/>
              <w:rPr>
                <w:rFonts w:ascii="宋体" w:hAnsi="宋体"/>
                <w:sz w:val="24"/>
                <w:szCs w:val="24"/>
              </w:rPr>
            </w:pPr>
            <w:r>
              <w:rPr>
                <w:rFonts w:hint="eastAsia" w:ascii="宋体" w:hAnsi="宋体" w:cs="宋体"/>
                <w:sz w:val="24"/>
                <w:szCs w:val="24"/>
              </w:rPr>
              <w:t>20</w:t>
            </w:r>
          </w:p>
        </w:tc>
        <w:tc>
          <w:tcPr>
            <w:tcW w:w="4962" w:type="dxa"/>
            <w:vAlign w:val="center"/>
          </w:tcPr>
          <w:p>
            <w:pPr>
              <w:spacing w:line="360" w:lineRule="auto"/>
              <w:rPr>
                <w:rFonts w:ascii="宋体" w:hAnsi="宋体"/>
                <w:sz w:val="24"/>
                <w:szCs w:val="24"/>
              </w:rPr>
            </w:pPr>
            <w:r>
              <w:rPr>
                <w:rFonts w:hint="eastAsia" w:ascii="宋体" w:hAnsi="宋体" w:cs="宋体"/>
                <w:sz w:val="24"/>
                <w:szCs w:val="24"/>
              </w:rPr>
              <w:t>2.设计思路能准确、完整地对重庆市统计大数据平台建设项目所需的硬件支撑平台进行阐述，包括测算依据、所需资源、系统架构、安全运维等，根据阐述情况得分（优得20分，良得15分，中得10分，差得5分，无或不符合得0分）。</w:t>
            </w:r>
          </w:p>
        </w:tc>
        <w:tc>
          <w:tcPr>
            <w:tcW w:w="1736" w:type="dxa"/>
            <w:vMerge w:val="continue"/>
            <w:vAlign w:val="center"/>
          </w:tcPr>
          <w:p>
            <w:pPr>
              <w:ind w:left="126" w:leftChars="45" w:right="126" w:rightChars="45"/>
              <w:rPr>
                <w:rFonts w:ascii="宋体" w:hAnsi="宋体"/>
                <w:sz w:val="24"/>
                <w:szCs w:val="24"/>
              </w:rPr>
            </w:pPr>
          </w:p>
        </w:tc>
      </w:tr>
    </w:tbl>
    <w:p>
      <w:pPr>
        <w:pStyle w:val="5"/>
        <w:spacing w:before="0" w:after="0" w:line="480" w:lineRule="exact"/>
        <w:rPr>
          <w:rFonts w:ascii="宋体" w:hAnsi="宋体"/>
          <w:color w:val="000000"/>
          <w:sz w:val="28"/>
          <w:szCs w:val="28"/>
        </w:rPr>
      </w:pPr>
      <w:bookmarkStart w:id="86" w:name="_Toc4971"/>
      <w:bookmarkStart w:id="87" w:name="_Toc428437947"/>
      <w:bookmarkStart w:id="88" w:name="_Toc4362"/>
      <w:r>
        <w:rPr>
          <w:rFonts w:hint="eastAsia" w:ascii="宋体" w:hAnsi="宋体"/>
          <w:color w:val="000000"/>
          <w:sz w:val="28"/>
          <w:szCs w:val="28"/>
        </w:rPr>
        <w:t>三、无效响应</w:t>
      </w:r>
      <w:bookmarkEnd w:id="86"/>
      <w:bookmarkEnd w:id="87"/>
      <w:bookmarkEnd w:id="88"/>
    </w:p>
    <w:p>
      <w:pPr>
        <w:snapToGrid w:val="0"/>
        <w:spacing w:line="440" w:lineRule="exact"/>
        <w:ind w:firstLine="560" w:firstLineChars="200"/>
        <w:rPr>
          <w:rFonts w:ascii="宋体" w:hAnsi="宋体"/>
          <w:color w:val="000000"/>
          <w:szCs w:val="28"/>
        </w:rPr>
      </w:pPr>
      <w:r>
        <w:rPr>
          <w:rFonts w:hint="eastAsia" w:ascii="宋体" w:hAnsi="宋体"/>
          <w:color w:val="000000"/>
          <w:szCs w:val="28"/>
        </w:rPr>
        <w:t>竞选人发生以下条款情况之一者，视为无效响应，其竞选文件将被拒绝：</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竞选人未通过资格性检查或竞选文件未通过符合性检查的；</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竞选人的法定代表人或其授权代表未参加比选；</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竞选人未按照竞争性比选文件的要求缴纳比选保证金；</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竞选人所提交的竞选文件不按第七篇“竞选文件格式要求”规定签字、盖章；</w:t>
      </w:r>
    </w:p>
    <w:p>
      <w:pPr>
        <w:numPr>
          <w:ilvl w:val="0"/>
          <w:numId w:val="3"/>
        </w:numPr>
        <w:snapToGrid w:val="0"/>
        <w:spacing w:line="440" w:lineRule="exact"/>
        <w:ind w:left="0" w:firstLine="560" w:firstLineChars="200"/>
        <w:rPr>
          <w:rFonts w:ascii="宋体" w:hAnsi="宋体"/>
          <w:color w:val="000000"/>
          <w:szCs w:val="28"/>
        </w:rPr>
      </w:pPr>
      <w:r>
        <w:rPr>
          <w:rFonts w:ascii="宋体" w:hAnsi="宋体"/>
          <w:color w:val="000000"/>
          <w:szCs w:val="28"/>
        </w:rPr>
        <w:t>单位负责人为同一人或者存在直接控股、管理关系的不同</w:t>
      </w:r>
      <w:r>
        <w:rPr>
          <w:rFonts w:hint="eastAsia" w:ascii="宋体" w:hAnsi="宋体"/>
          <w:color w:val="000000"/>
          <w:szCs w:val="28"/>
        </w:rPr>
        <w:t>竞选人</w:t>
      </w:r>
      <w:r>
        <w:rPr>
          <w:rFonts w:ascii="宋体" w:hAnsi="宋体"/>
          <w:color w:val="000000"/>
          <w:szCs w:val="28"/>
        </w:rPr>
        <w:t>，参加同一合同项下的</w:t>
      </w:r>
      <w:r>
        <w:rPr>
          <w:rFonts w:hint="eastAsia" w:ascii="宋体" w:hAnsi="宋体"/>
          <w:color w:val="000000"/>
          <w:szCs w:val="28"/>
        </w:rPr>
        <w:t>比选的；</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为比选项目提供整体设计、规范编制或者项目管理、监理、检测等服务的竞选人再参加本项目的比选的；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（九）竞选人竞选文件内容有与国家现行法律法规相违背的内容，或附有比选人无法接受的条件。</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（十）响应产品不符合必须强制执行的国家标准的；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（十一）竞选人的服务期、比选有效期等不满足比选文件要求的；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（十二）竞选人被列入失信被执行人、重大税收违法案件当事人名单、政府采购严重违法失信行为记录名单及其他不符合法律规定条件的；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（十三）竞选人提供虚假材料的。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（十四）以联合体参加竞选的。</w:t>
      </w:r>
    </w:p>
    <w:p>
      <w:pPr>
        <w:snapToGrid w:val="0"/>
        <w:spacing w:line="400" w:lineRule="exact"/>
        <w:ind w:firstLine="562" w:firstLineChars="200"/>
        <w:rPr>
          <w:rFonts w:ascii="宋体" w:hAnsi="宋体"/>
          <w:b/>
          <w:color w:val="000000"/>
          <w:szCs w:val="28"/>
        </w:rPr>
      </w:pPr>
      <w:bookmarkStart w:id="89" w:name="_Toc428437948"/>
      <w:r>
        <w:rPr>
          <w:rFonts w:hint="eastAsia" w:ascii="宋体" w:hAnsi="宋体"/>
          <w:b/>
          <w:color w:val="000000"/>
          <w:szCs w:val="28"/>
        </w:rPr>
        <w:t>四、</w:t>
      </w:r>
      <w:bookmarkEnd w:id="84"/>
      <w:bookmarkEnd w:id="85"/>
      <w:r>
        <w:rPr>
          <w:rFonts w:hint="eastAsia" w:ascii="宋体" w:hAnsi="宋体"/>
          <w:b/>
          <w:color w:val="000000"/>
          <w:szCs w:val="28"/>
        </w:rPr>
        <w:t>比选终止</w:t>
      </w:r>
      <w:bookmarkEnd w:id="89"/>
    </w:p>
    <w:p>
      <w:pPr>
        <w:snapToGrid w:val="0"/>
        <w:spacing w:line="480" w:lineRule="exact"/>
        <w:ind w:firstLine="465"/>
        <w:rPr>
          <w:rFonts w:ascii="宋体" w:hAnsi="宋体"/>
          <w:color w:val="000000"/>
          <w:szCs w:val="28"/>
        </w:rPr>
      </w:pPr>
      <w:r>
        <w:rPr>
          <w:rFonts w:hint="eastAsia" w:ascii="宋体" w:hAnsi="宋体"/>
          <w:color w:val="000000"/>
          <w:szCs w:val="28"/>
        </w:rPr>
        <w:t>出现下列情形之一的，比选人或者比选代理机构应当终止竞争性比选，发布项目终止公告并说明原因，重新开展比选：</w:t>
      </w:r>
    </w:p>
    <w:p>
      <w:pPr>
        <w:snapToGrid w:val="0"/>
        <w:spacing w:line="480" w:lineRule="exact"/>
        <w:ind w:firstLine="465"/>
        <w:rPr>
          <w:rFonts w:ascii="宋体" w:hAnsi="宋体"/>
          <w:color w:val="000000"/>
          <w:szCs w:val="28"/>
        </w:rPr>
      </w:pPr>
      <w:r>
        <w:rPr>
          <w:rFonts w:hint="eastAsia" w:ascii="宋体" w:hAnsi="宋体"/>
          <w:color w:val="000000"/>
          <w:szCs w:val="28"/>
        </w:rPr>
        <w:t>（一）因情况变化，不再符合规定的竞争性比选方式适用情形的；</w:t>
      </w:r>
    </w:p>
    <w:p>
      <w:pPr>
        <w:snapToGrid w:val="0"/>
        <w:spacing w:line="480" w:lineRule="exact"/>
        <w:ind w:firstLine="465"/>
        <w:rPr>
          <w:rFonts w:ascii="宋体" w:hAnsi="宋体"/>
          <w:color w:val="000000"/>
          <w:szCs w:val="28"/>
        </w:rPr>
      </w:pPr>
      <w:r>
        <w:rPr>
          <w:rFonts w:hint="eastAsia" w:ascii="宋体" w:hAnsi="宋体"/>
          <w:color w:val="000000"/>
          <w:szCs w:val="28"/>
        </w:rPr>
        <w:t>（二）出现影响比选公正的违法、违规行为的；</w:t>
      </w:r>
    </w:p>
    <w:p>
      <w:pPr>
        <w:snapToGrid w:val="0"/>
        <w:spacing w:line="480" w:lineRule="exact"/>
        <w:ind w:firstLine="465"/>
        <w:rPr>
          <w:rFonts w:ascii="宋体" w:hAnsi="宋体"/>
          <w:color w:val="000000"/>
          <w:szCs w:val="28"/>
        </w:rPr>
      </w:pPr>
      <w:r>
        <w:rPr>
          <w:rFonts w:hint="eastAsia" w:ascii="宋体" w:hAnsi="宋体"/>
          <w:color w:val="000000"/>
          <w:szCs w:val="28"/>
        </w:rPr>
        <w:t>（三）在比选过程中符合要求的竞选人不足2家的。</w:t>
      </w:r>
    </w:p>
    <w:p>
      <w:pPr>
        <w:spacing w:line="360" w:lineRule="auto"/>
        <w:ind w:firstLine="560" w:firstLineChars="200"/>
        <w:rPr>
          <w:rFonts w:ascii="宋体" w:hAnsi="宋体"/>
          <w:color w:val="000000"/>
          <w:szCs w:val="28"/>
        </w:rPr>
        <w:sectPr>
          <w:footerReference r:id="rId9" w:type="default"/>
          <w:footerReference r:id="rId10" w:type="even"/>
          <w:pgSz w:w="11907" w:h="16840"/>
          <w:pgMar w:top="1134" w:right="1191" w:bottom="1134" w:left="1304" w:header="964" w:footer="992" w:gutter="0"/>
          <w:cols w:space="720" w:num="1"/>
          <w:docGrid w:linePitch="312" w:charSpace="0"/>
        </w:sectPr>
      </w:pPr>
    </w:p>
    <w:p>
      <w:pPr>
        <w:pStyle w:val="4"/>
        <w:spacing w:before="0" w:after="0" w:line="360" w:lineRule="auto"/>
        <w:jc w:val="center"/>
        <w:rPr>
          <w:rFonts w:ascii="宋体" w:hAnsi="宋体" w:eastAsia="宋体"/>
          <w:color w:val="000000"/>
          <w:sz w:val="36"/>
          <w:szCs w:val="36"/>
        </w:rPr>
      </w:pPr>
      <w:bookmarkStart w:id="90" w:name="_Hlt41879464"/>
      <w:bookmarkEnd w:id="90"/>
      <w:bookmarkStart w:id="91" w:name="_Toc6250"/>
      <w:bookmarkStart w:id="92" w:name="_Toc30605"/>
      <w:bookmarkStart w:id="93" w:name="_Toc12789072"/>
      <w:r>
        <w:rPr>
          <w:rFonts w:hint="eastAsia" w:ascii="宋体" w:hAnsi="宋体" w:eastAsia="宋体"/>
          <w:color w:val="000000"/>
          <w:sz w:val="36"/>
          <w:szCs w:val="36"/>
        </w:rPr>
        <w:t>第五篇  竞选人须知</w:t>
      </w:r>
      <w:bookmarkEnd w:id="91"/>
      <w:bookmarkEnd w:id="92"/>
    </w:p>
    <w:p>
      <w:pPr>
        <w:pStyle w:val="5"/>
        <w:spacing w:before="0" w:after="0" w:line="360" w:lineRule="auto"/>
        <w:rPr>
          <w:rFonts w:ascii="宋体" w:hAnsi="宋体"/>
          <w:color w:val="000000"/>
          <w:sz w:val="28"/>
          <w:szCs w:val="28"/>
        </w:rPr>
      </w:pPr>
      <w:bookmarkStart w:id="94" w:name="_Toc428437950"/>
      <w:bookmarkStart w:id="95" w:name="_Toc1414"/>
      <w:bookmarkStart w:id="96" w:name="_Toc1869"/>
      <w:r>
        <w:rPr>
          <w:rFonts w:hint="eastAsia" w:ascii="宋体" w:hAnsi="宋体"/>
          <w:color w:val="000000"/>
          <w:sz w:val="28"/>
          <w:szCs w:val="28"/>
        </w:rPr>
        <w:t>一、</w:t>
      </w:r>
      <w:bookmarkEnd w:id="94"/>
      <w:r>
        <w:rPr>
          <w:rFonts w:hint="eastAsia" w:ascii="宋体" w:hAnsi="宋体"/>
          <w:color w:val="000000"/>
          <w:sz w:val="28"/>
          <w:szCs w:val="28"/>
        </w:rPr>
        <w:t>比选竞选人</w:t>
      </w:r>
      <w:bookmarkEnd w:id="95"/>
      <w:bookmarkEnd w:id="96"/>
    </w:p>
    <w:p>
      <w:pPr>
        <w:pStyle w:val="178"/>
        <w:spacing w:line="360" w:lineRule="auto"/>
        <w:ind w:firstLine="560" w:firstLineChars="200"/>
        <w:rPr>
          <w:rFonts w:hAnsi="宋体"/>
          <w:color w:val="000000"/>
          <w:sz w:val="28"/>
          <w:szCs w:val="28"/>
        </w:rPr>
      </w:pPr>
      <w:r>
        <w:rPr>
          <w:rFonts w:hint="eastAsia" w:hAnsi="宋体"/>
          <w:color w:val="000000"/>
          <w:sz w:val="28"/>
          <w:szCs w:val="28"/>
        </w:rPr>
        <w:t>参与比选的竞选人应承担其编制竞选文件与递交竞选文件所涉及的一切费用，不论比选结果如何，比选人和比选代理机构在任何情况下无义务也无责任承担这些费用。</w:t>
      </w:r>
    </w:p>
    <w:p>
      <w:pPr>
        <w:pStyle w:val="5"/>
        <w:spacing w:before="0" w:after="0" w:line="360" w:lineRule="auto"/>
        <w:rPr>
          <w:rFonts w:ascii="宋体" w:hAnsi="宋体"/>
          <w:color w:val="000000"/>
          <w:sz w:val="28"/>
          <w:szCs w:val="28"/>
        </w:rPr>
      </w:pPr>
      <w:bookmarkStart w:id="97" w:name="_Toc31908"/>
      <w:bookmarkStart w:id="98" w:name="_Toc428437951"/>
      <w:bookmarkStart w:id="99" w:name="_Toc5400"/>
      <w:r>
        <w:rPr>
          <w:rFonts w:hint="eastAsia" w:ascii="宋体" w:hAnsi="宋体"/>
          <w:color w:val="000000"/>
          <w:sz w:val="28"/>
          <w:szCs w:val="28"/>
        </w:rPr>
        <w:t>二、竞争性比选文件</w:t>
      </w:r>
      <w:bookmarkEnd w:id="97"/>
      <w:bookmarkEnd w:id="98"/>
      <w:bookmarkEnd w:id="99"/>
    </w:p>
    <w:p>
      <w:pPr>
        <w:pStyle w:val="178"/>
        <w:spacing w:line="360" w:lineRule="auto"/>
        <w:ind w:firstLine="560" w:firstLineChars="200"/>
        <w:rPr>
          <w:rFonts w:hAnsi="宋体"/>
          <w:color w:val="000000"/>
          <w:sz w:val="28"/>
          <w:szCs w:val="28"/>
        </w:rPr>
      </w:pPr>
      <w:r>
        <w:rPr>
          <w:rFonts w:hint="eastAsia" w:hAnsi="宋体"/>
          <w:color w:val="000000"/>
          <w:sz w:val="28"/>
          <w:szCs w:val="28"/>
        </w:rPr>
        <w:t>（一）竞争性比选文件由竞争性比选邀请书、项目技术需求、项目商务需求、比选程序及方法、</w:t>
      </w:r>
      <w:r>
        <w:rPr>
          <w:rFonts w:hAnsi="宋体"/>
          <w:color w:val="000000"/>
          <w:sz w:val="28"/>
          <w:szCs w:val="28"/>
        </w:rPr>
        <w:t>评</w:t>
      </w:r>
      <w:r>
        <w:rPr>
          <w:rFonts w:hint="eastAsia" w:hAnsi="宋体"/>
          <w:color w:val="000000"/>
          <w:sz w:val="28"/>
          <w:szCs w:val="28"/>
        </w:rPr>
        <w:t>审及标准、竞选人须知、合同草案条款、竞选文件编制要求七部分组成。</w:t>
      </w:r>
    </w:p>
    <w:p>
      <w:pPr>
        <w:pStyle w:val="178"/>
        <w:spacing w:line="360" w:lineRule="auto"/>
        <w:ind w:firstLine="560" w:firstLineChars="200"/>
        <w:rPr>
          <w:rFonts w:hAnsi="宋体"/>
          <w:color w:val="000000"/>
          <w:sz w:val="28"/>
          <w:szCs w:val="28"/>
        </w:rPr>
      </w:pPr>
      <w:r>
        <w:rPr>
          <w:rFonts w:hint="eastAsia" w:hAnsi="宋体"/>
          <w:color w:val="000000"/>
          <w:sz w:val="28"/>
          <w:szCs w:val="28"/>
        </w:rPr>
        <w:t>（二）比选人（或比选代理机构）所作的一切有效的书面通知、修改及补充，都是竞争性比选文件不可分割的部分。</w:t>
      </w:r>
    </w:p>
    <w:p>
      <w:pPr>
        <w:pStyle w:val="178"/>
        <w:spacing w:line="360" w:lineRule="auto"/>
        <w:ind w:firstLine="560" w:firstLineChars="200"/>
        <w:rPr>
          <w:rFonts w:hAnsi="宋体"/>
          <w:color w:val="000000"/>
          <w:sz w:val="28"/>
          <w:szCs w:val="28"/>
        </w:rPr>
      </w:pPr>
      <w:r>
        <w:rPr>
          <w:rFonts w:hint="eastAsia" w:hAnsi="宋体"/>
          <w:color w:val="000000"/>
          <w:sz w:val="28"/>
          <w:szCs w:val="28"/>
        </w:rPr>
        <w:t>（三）竞争性比选文件的解释</w:t>
      </w:r>
    </w:p>
    <w:p>
      <w:pPr>
        <w:pStyle w:val="178"/>
        <w:spacing w:line="360" w:lineRule="auto"/>
        <w:ind w:firstLine="560" w:firstLineChars="200"/>
        <w:rPr>
          <w:rFonts w:hAnsi="宋体"/>
          <w:color w:val="000000"/>
          <w:sz w:val="28"/>
          <w:szCs w:val="28"/>
        </w:rPr>
      </w:pPr>
      <w:r>
        <w:rPr>
          <w:rFonts w:hint="eastAsia" w:hAnsi="宋体"/>
          <w:color w:val="000000"/>
          <w:sz w:val="28"/>
          <w:szCs w:val="28"/>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100" w:name="_Toc318159780"/>
      <w:bookmarkStart w:id="101" w:name="_Toc318159160"/>
      <w:bookmarkStart w:id="102" w:name="_Toc318166429"/>
      <w:bookmarkStart w:id="103" w:name="_Toc318159349"/>
    </w:p>
    <w:p>
      <w:pPr>
        <w:pStyle w:val="178"/>
        <w:spacing w:line="360" w:lineRule="auto"/>
        <w:ind w:firstLine="560" w:firstLineChars="200"/>
        <w:rPr>
          <w:rFonts w:hAnsi="宋体"/>
          <w:color w:val="000000"/>
          <w:sz w:val="28"/>
          <w:szCs w:val="28"/>
        </w:rPr>
      </w:pPr>
      <w:r>
        <w:rPr>
          <w:rFonts w:hint="eastAsia" w:hAnsi="宋体"/>
          <w:color w:val="000000"/>
          <w:sz w:val="28"/>
          <w:szCs w:val="28"/>
        </w:rPr>
        <w:t>（四）本竞争性比选文件中，比选小组根据与竞选人进行比选可能实质性变动的内容为竞争性比选文件第二、三、六篇全部内容。</w:t>
      </w:r>
    </w:p>
    <w:p>
      <w:pPr>
        <w:pStyle w:val="178"/>
        <w:spacing w:line="360" w:lineRule="auto"/>
        <w:ind w:firstLine="560" w:firstLineChars="200"/>
        <w:rPr>
          <w:rFonts w:ascii="方正仿宋_GBK" w:hAnsi="宋体" w:eastAsia="方正仿宋_GBK"/>
          <w:color w:val="000000"/>
          <w:sz w:val="28"/>
          <w:szCs w:val="28"/>
        </w:rPr>
      </w:pPr>
      <w:r>
        <w:rPr>
          <w:rFonts w:hint="eastAsia" w:hAnsi="宋体"/>
          <w:color w:val="000000"/>
          <w:sz w:val="28"/>
          <w:szCs w:val="28"/>
        </w:rPr>
        <w:t>（五）评审的依据为竞争性比选文件和竞选文件（含有效的书面承诺）。比选小组判断竞选文件对竞争性比选文件的响应，仅基于竞选文件本身而不靠外部证据。</w:t>
      </w:r>
    </w:p>
    <w:bookmarkEnd w:id="100"/>
    <w:bookmarkEnd w:id="101"/>
    <w:bookmarkEnd w:id="102"/>
    <w:bookmarkEnd w:id="103"/>
    <w:p>
      <w:pPr>
        <w:pStyle w:val="5"/>
        <w:spacing w:before="0" w:after="0" w:line="360" w:lineRule="auto"/>
        <w:rPr>
          <w:rFonts w:ascii="宋体" w:hAnsi="宋体"/>
          <w:color w:val="000000"/>
          <w:sz w:val="28"/>
          <w:szCs w:val="28"/>
        </w:rPr>
      </w:pPr>
      <w:bookmarkStart w:id="104" w:name="_Toc179714297"/>
      <w:bookmarkStart w:id="105" w:name="_Toc342913392"/>
      <w:bookmarkStart w:id="106" w:name="_Toc16418"/>
      <w:bookmarkStart w:id="107" w:name="_Toc9102"/>
      <w:bookmarkStart w:id="108" w:name="_Toc102227318"/>
      <w:bookmarkStart w:id="109" w:name="_Toc428437952"/>
      <w:r>
        <w:rPr>
          <w:rFonts w:hint="eastAsia" w:ascii="宋体" w:hAnsi="宋体"/>
          <w:color w:val="000000"/>
          <w:sz w:val="28"/>
          <w:szCs w:val="28"/>
        </w:rPr>
        <w:t>三、比选要求</w:t>
      </w:r>
      <w:bookmarkEnd w:id="104"/>
      <w:bookmarkEnd w:id="105"/>
      <w:bookmarkEnd w:id="106"/>
      <w:bookmarkEnd w:id="107"/>
      <w:bookmarkEnd w:id="108"/>
      <w:bookmarkEnd w:id="109"/>
    </w:p>
    <w:p>
      <w:pPr>
        <w:pStyle w:val="178"/>
        <w:spacing w:line="360" w:lineRule="auto"/>
        <w:ind w:firstLine="560" w:firstLineChars="200"/>
        <w:rPr>
          <w:rFonts w:hAnsi="宋体"/>
          <w:color w:val="000000"/>
          <w:sz w:val="28"/>
          <w:szCs w:val="28"/>
        </w:rPr>
      </w:pPr>
      <w:r>
        <w:rPr>
          <w:rFonts w:hint="eastAsia" w:hAnsi="宋体"/>
          <w:color w:val="000000"/>
          <w:sz w:val="28"/>
          <w:szCs w:val="28"/>
        </w:rPr>
        <w:t>（一）竞选文件</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1．竞选人应当按照竞争性比选文件的要求编制竞选文件，并对竞争性比选文件提出的要求和条件作出实质性响应，竞选文件原则上采用软面订本，同时应编制完整的页码、目录。</w:t>
      </w:r>
    </w:p>
    <w:p>
      <w:pPr>
        <w:pStyle w:val="178"/>
        <w:spacing w:line="360" w:lineRule="auto"/>
        <w:ind w:firstLine="560" w:firstLineChars="200"/>
        <w:rPr>
          <w:rFonts w:hAnsi="宋体"/>
          <w:color w:val="000000"/>
          <w:sz w:val="28"/>
          <w:szCs w:val="28"/>
        </w:rPr>
      </w:pPr>
      <w:r>
        <w:rPr>
          <w:rFonts w:hint="eastAsia" w:hAnsi="宋体"/>
          <w:color w:val="000000"/>
          <w:sz w:val="28"/>
          <w:szCs w:val="28"/>
        </w:rPr>
        <w:t>2．竞选文件组成</w:t>
      </w:r>
    </w:p>
    <w:p>
      <w:pPr>
        <w:pStyle w:val="178"/>
        <w:spacing w:line="360" w:lineRule="auto"/>
        <w:ind w:firstLine="560" w:firstLineChars="200"/>
        <w:rPr>
          <w:rFonts w:hAnsi="宋体"/>
          <w:color w:val="000000"/>
          <w:sz w:val="28"/>
          <w:szCs w:val="28"/>
        </w:rPr>
      </w:pPr>
      <w:r>
        <w:rPr>
          <w:rFonts w:hint="eastAsia" w:hAnsi="宋体"/>
          <w:color w:val="000000"/>
          <w:sz w:val="28"/>
          <w:szCs w:val="28"/>
        </w:rPr>
        <w:t>竞选文件由第七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pPr>
        <w:spacing w:line="360" w:lineRule="auto"/>
        <w:ind w:firstLine="560" w:firstLineChars="200"/>
        <w:rPr>
          <w:rFonts w:ascii="宋体" w:hAnsi="宋体"/>
          <w:color w:val="000000"/>
          <w:szCs w:val="28"/>
        </w:rPr>
      </w:pPr>
      <w:r>
        <w:rPr>
          <w:rFonts w:hint="eastAsia" w:ascii="宋体" w:hAnsi="宋体"/>
          <w:color w:val="000000"/>
          <w:szCs w:val="28"/>
        </w:rPr>
        <w:t>（二）</w:t>
      </w:r>
      <w:r>
        <w:rPr>
          <w:rFonts w:ascii="宋体" w:hAnsi="宋体"/>
          <w:color w:val="000000"/>
          <w:szCs w:val="28"/>
        </w:rPr>
        <w:t>本</w:t>
      </w:r>
      <w:r>
        <w:rPr>
          <w:rFonts w:hint="eastAsia" w:ascii="宋体" w:hAnsi="宋体"/>
          <w:color w:val="000000"/>
          <w:szCs w:val="28"/>
        </w:rPr>
        <w:t>项目</w:t>
      </w:r>
      <w:r>
        <w:rPr>
          <w:rFonts w:hint="eastAsia" w:ascii="宋体" w:hAnsi="宋体"/>
          <w:b/>
          <w:bCs/>
          <w:color w:val="000000"/>
          <w:szCs w:val="28"/>
        </w:rPr>
        <w:t>不接受</w:t>
      </w:r>
      <w:r>
        <w:rPr>
          <w:rFonts w:hint="eastAsia" w:ascii="宋体" w:hAnsi="宋体"/>
          <w:color w:val="000000"/>
          <w:szCs w:val="28"/>
        </w:rPr>
        <w:t>联合体</w:t>
      </w:r>
      <w:r>
        <w:rPr>
          <w:rFonts w:ascii="宋体" w:hAnsi="宋体"/>
          <w:color w:val="000000"/>
          <w:szCs w:val="28"/>
        </w:rPr>
        <w:t>形式参与</w:t>
      </w:r>
      <w:r>
        <w:rPr>
          <w:rFonts w:hint="eastAsia" w:ascii="宋体" w:hAnsi="宋体"/>
          <w:color w:val="000000"/>
          <w:szCs w:val="28"/>
        </w:rPr>
        <w:t>比选</w:t>
      </w:r>
      <w:r>
        <w:rPr>
          <w:rFonts w:ascii="宋体" w:hAnsi="宋体"/>
          <w:color w:val="000000"/>
          <w:szCs w:val="28"/>
        </w:rPr>
        <w:t>。</w:t>
      </w:r>
    </w:p>
    <w:p>
      <w:pPr>
        <w:pStyle w:val="178"/>
        <w:spacing w:line="360" w:lineRule="auto"/>
        <w:ind w:firstLine="560" w:firstLineChars="200"/>
        <w:rPr>
          <w:rFonts w:hAnsi="宋体"/>
          <w:color w:val="000000"/>
          <w:sz w:val="28"/>
          <w:szCs w:val="28"/>
        </w:rPr>
      </w:pPr>
      <w:r>
        <w:rPr>
          <w:rFonts w:hint="eastAsia" w:hAnsi="宋体"/>
          <w:color w:val="000000"/>
          <w:sz w:val="28"/>
          <w:szCs w:val="28"/>
        </w:rPr>
        <w:t>（三）比选有效期：竞选文件及有关承诺文件有效期为提交竞选文件截止时间起90天。</w:t>
      </w:r>
    </w:p>
    <w:p>
      <w:pPr>
        <w:pStyle w:val="178"/>
        <w:spacing w:line="360" w:lineRule="auto"/>
        <w:ind w:firstLine="560" w:firstLineChars="200"/>
        <w:rPr>
          <w:rFonts w:hAnsi="宋体"/>
          <w:color w:val="000000"/>
          <w:sz w:val="28"/>
          <w:szCs w:val="28"/>
        </w:rPr>
      </w:pPr>
      <w:r>
        <w:rPr>
          <w:rFonts w:hint="eastAsia" w:hAnsi="宋体"/>
          <w:color w:val="000000"/>
          <w:sz w:val="28"/>
          <w:szCs w:val="28"/>
        </w:rPr>
        <w:t>（四）比选保证金：</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1．竞选人提交保证金金额和方式详见“</w:t>
      </w:r>
      <w:r>
        <w:rPr>
          <w:rFonts w:hint="eastAsia" w:hAnsi="宋体"/>
          <w:b/>
          <w:color w:val="000000"/>
          <w:sz w:val="28"/>
          <w:szCs w:val="28"/>
        </w:rPr>
        <w:t>第一篇  五、保证金</w:t>
      </w:r>
      <w:r>
        <w:rPr>
          <w:rFonts w:hint="eastAsia" w:hAnsi="宋体"/>
          <w:color w:val="000000"/>
          <w:sz w:val="28"/>
          <w:szCs w:val="28"/>
        </w:rPr>
        <w:t>”；</w:t>
      </w:r>
    </w:p>
    <w:p>
      <w:pPr>
        <w:pStyle w:val="178"/>
        <w:spacing w:line="360" w:lineRule="auto"/>
        <w:ind w:firstLine="560" w:firstLineChars="200"/>
        <w:rPr>
          <w:rFonts w:hAnsi="宋体"/>
          <w:color w:val="000000"/>
          <w:sz w:val="28"/>
          <w:szCs w:val="28"/>
        </w:rPr>
      </w:pPr>
      <w:r>
        <w:rPr>
          <w:rFonts w:hint="eastAsia" w:hAnsi="宋体"/>
          <w:color w:val="000000"/>
          <w:sz w:val="28"/>
          <w:szCs w:val="28"/>
        </w:rPr>
        <w:t>2．发生以下情况之一者，比选保证金不予退还：</w:t>
      </w:r>
    </w:p>
    <w:p>
      <w:pPr>
        <w:pStyle w:val="178"/>
        <w:spacing w:line="360" w:lineRule="auto"/>
        <w:ind w:firstLine="560" w:firstLineChars="200"/>
        <w:rPr>
          <w:rFonts w:hAnsi="宋体"/>
          <w:color w:val="000000"/>
          <w:sz w:val="28"/>
          <w:szCs w:val="28"/>
        </w:rPr>
      </w:pPr>
      <w:r>
        <w:rPr>
          <w:rFonts w:hint="eastAsia" w:hAnsi="宋体"/>
          <w:color w:val="000000"/>
          <w:sz w:val="28"/>
          <w:szCs w:val="28"/>
        </w:rPr>
        <w:t>2.1竞选人在提交竞选文件截止时间后撤回竞选文件的；</w:t>
      </w:r>
    </w:p>
    <w:p>
      <w:pPr>
        <w:pStyle w:val="178"/>
        <w:spacing w:line="360" w:lineRule="auto"/>
        <w:ind w:firstLine="560" w:firstLineChars="200"/>
        <w:rPr>
          <w:rFonts w:hAnsi="宋体"/>
          <w:color w:val="000000"/>
          <w:sz w:val="28"/>
          <w:szCs w:val="28"/>
        </w:rPr>
      </w:pPr>
      <w:r>
        <w:rPr>
          <w:rFonts w:hint="eastAsia" w:hAnsi="宋体"/>
          <w:color w:val="000000"/>
          <w:sz w:val="28"/>
          <w:szCs w:val="28"/>
        </w:rPr>
        <w:t>2.2竞选人在竞选文件中提供虚假材料的；</w:t>
      </w:r>
    </w:p>
    <w:p>
      <w:pPr>
        <w:pStyle w:val="178"/>
        <w:spacing w:line="360" w:lineRule="auto"/>
        <w:ind w:firstLine="560" w:firstLineChars="200"/>
        <w:rPr>
          <w:rFonts w:hAnsi="宋体"/>
          <w:color w:val="000000"/>
          <w:sz w:val="28"/>
          <w:szCs w:val="28"/>
        </w:rPr>
      </w:pPr>
      <w:r>
        <w:rPr>
          <w:rFonts w:hint="eastAsia" w:hAnsi="宋体"/>
          <w:color w:val="000000"/>
          <w:sz w:val="28"/>
          <w:szCs w:val="28"/>
        </w:rPr>
        <w:t>2.3除因不可抗力或竞争性比选文件认可的情形以外，中选人不与比选人签订合同的；</w:t>
      </w:r>
    </w:p>
    <w:p>
      <w:pPr>
        <w:pStyle w:val="178"/>
        <w:spacing w:line="360" w:lineRule="auto"/>
        <w:ind w:firstLine="560" w:firstLineChars="200"/>
        <w:rPr>
          <w:rFonts w:hAnsi="宋体"/>
          <w:color w:val="000000"/>
          <w:sz w:val="28"/>
          <w:szCs w:val="28"/>
        </w:rPr>
      </w:pPr>
      <w:r>
        <w:rPr>
          <w:rFonts w:hint="eastAsia" w:hAnsi="宋体"/>
          <w:color w:val="000000"/>
          <w:sz w:val="28"/>
          <w:szCs w:val="28"/>
        </w:rPr>
        <w:t>2.4竞选人与比选人、其他竞选人或者比选代理机构恶意串通的；</w:t>
      </w:r>
    </w:p>
    <w:p>
      <w:pPr>
        <w:pStyle w:val="178"/>
        <w:spacing w:line="360" w:lineRule="auto"/>
        <w:ind w:firstLine="560" w:firstLineChars="200"/>
        <w:rPr>
          <w:rFonts w:hAnsi="宋体"/>
          <w:color w:val="000000"/>
          <w:sz w:val="28"/>
          <w:szCs w:val="28"/>
        </w:rPr>
      </w:pPr>
      <w:r>
        <w:rPr>
          <w:rFonts w:hint="eastAsia" w:hAnsi="宋体"/>
          <w:color w:val="000000"/>
          <w:sz w:val="28"/>
          <w:szCs w:val="28"/>
        </w:rPr>
        <w:t>2.5中选人不按规定的时间或拒绝按中选状态签订合同的。</w:t>
      </w:r>
    </w:p>
    <w:p>
      <w:pPr>
        <w:pStyle w:val="178"/>
        <w:spacing w:line="360" w:lineRule="auto"/>
        <w:ind w:firstLine="560" w:firstLineChars="200"/>
        <w:rPr>
          <w:rFonts w:hAnsi="宋体"/>
          <w:color w:val="000000"/>
          <w:sz w:val="28"/>
          <w:szCs w:val="28"/>
        </w:rPr>
      </w:pPr>
      <w:r>
        <w:rPr>
          <w:rFonts w:hint="eastAsia" w:hAnsi="宋体"/>
          <w:color w:val="000000"/>
          <w:sz w:val="28"/>
          <w:szCs w:val="28"/>
        </w:rPr>
        <w:t>（五）提交竞选文件的份数和签署</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1．竞选文件一式三份，其中正本一份，副本二份，副本可为正本的复印件，应与正本一致，如出现不一致情况以正本为准。</w:t>
      </w:r>
    </w:p>
    <w:p>
      <w:pPr>
        <w:pStyle w:val="178"/>
        <w:spacing w:line="360" w:lineRule="auto"/>
        <w:ind w:firstLine="560" w:firstLineChars="200"/>
        <w:rPr>
          <w:rFonts w:hAnsi="宋体"/>
          <w:color w:val="000000"/>
          <w:sz w:val="28"/>
          <w:szCs w:val="28"/>
        </w:rPr>
      </w:pPr>
      <w:r>
        <w:rPr>
          <w:rFonts w:hint="eastAsia" w:hAnsi="宋体"/>
          <w:color w:val="000000"/>
          <w:sz w:val="28"/>
          <w:szCs w:val="28"/>
        </w:rPr>
        <w:t>2．在竞选文件正本中，竞争性比选文件第六篇竞选文件编制要求中规定签字、盖章的地方必须按其规定签字、盖章。</w:t>
      </w:r>
    </w:p>
    <w:p>
      <w:pPr>
        <w:pStyle w:val="178"/>
        <w:spacing w:line="360" w:lineRule="auto"/>
        <w:ind w:firstLine="560" w:firstLineChars="200"/>
        <w:rPr>
          <w:rFonts w:hAnsi="宋体"/>
          <w:color w:val="000000"/>
          <w:sz w:val="28"/>
          <w:szCs w:val="28"/>
        </w:rPr>
      </w:pPr>
      <w:r>
        <w:rPr>
          <w:rFonts w:hint="eastAsia" w:hAnsi="宋体"/>
          <w:color w:val="000000"/>
          <w:sz w:val="28"/>
          <w:szCs w:val="28"/>
        </w:rPr>
        <w:t>（六）竞选文件的递交</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1．竞选文件的密封与标记</w:t>
      </w:r>
    </w:p>
    <w:p>
      <w:pPr>
        <w:pStyle w:val="178"/>
        <w:spacing w:line="360" w:lineRule="auto"/>
        <w:ind w:firstLine="560" w:firstLineChars="200"/>
        <w:rPr>
          <w:rFonts w:hAnsi="宋体"/>
          <w:color w:val="000000"/>
          <w:sz w:val="28"/>
          <w:szCs w:val="28"/>
        </w:rPr>
      </w:pPr>
      <w:r>
        <w:rPr>
          <w:rFonts w:hint="eastAsia" w:hAnsi="宋体"/>
          <w:color w:val="000000"/>
          <w:sz w:val="28"/>
          <w:szCs w:val="28"/>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pPr>
        <w:pStyle w:val="178"/>
        <w:spacing w:line="360" w:lineRule="auto"/>
        <w:ind w:firstLine="560" w:firstLineChars="200"/>
        <w:rPr>
          <w:rFonts w:hAnsi="宋体"/>
          <w:color w:val="000000"/>
          <w:sz w:val="28"/>
          <w:szCs w:val="28"/>
        </w:rPr>
      </w:pPr>
      <w:r>
        <w:rPr>
          <w:rFonts w:hint="eastAsia" w:hAnsi="宋体"/>
          <w:color w:val="000000"/>
          <w:sz w:val="28"/>
          <w:szCs w:val="28"/>
        </w:rPr>
        <w:t>2．竞选文件递交截止时间：参阅竞争性比选邀请书。</w:t>
      </w:r>
    </w:p>
    <w:p>
      <w:pPr>
        <w:pStyle w:val="178"/>
        <w:spacing w:line="360" w:lineRule="auto"/>
        <w:ind w:firstLine="560" w:firstLineChars="200"/>
        <w:rPr>
          <w:rFonts w:hAnsi="宋体"/>
          <w:color w:val="000000"/>
          <w:sz w:val="28"/>
          <w:szCs w:val="28"/>
        </w:rPr>
      </w:pPr>
      <w:r>
        <w:rPr>
          <w:rFonts w:hint="eastAsia" w:hAnsi="宋体"/>
          <w:color w:val="000000"/>
          <w:sz w:val="28"/>
          <w:szCs w:val="28"/>
        </w:rPr>
        <w:t>3．竞选文件语言：简体中文</w:t>
      </w:r>
    </w:p>
    <w:p>
      <w:pPr>
        <w:pStyle w:val="178"/>
        <w:spacing w:line="360" w:lineRule="auto"/>
        <w:ind w:firstLine="560" w:firstLineChars="200"/>
        <w:rPr>
          <w:rFonts w:hAnsi="宋体"/>
          <w:color w:val="000000"/>
          <w:sz w:val="28"/>
          <w:szCs w:val="28"/>
        </w:rPr>
      </w:pPr>
      <w:r>
        <w:rPr>
          <w:rFonts w:hint="eastAsia" w:hAnsi="宋体"/>
          <w:color w:val="000000"/>
          <w:sz w:val="28"/>
          <w:szCs w:val="28"/>
        </w:rPr>
        <w:t>（七）竞选人参与人员</w:t>
      </w:r>
    </w:p>
    <w:p>
      <w:pPr>
        <w:pStyle w:val="178"/>
        <w:spacing w:line="360" w:lineRule="auto"/>
        <w:ind w:firstLine="560" w:firstLineChars="200"/>
        <w:rPr>
          <w:rFonts w:hAnsi="宋体"/>
          <w:color w:val="000000"/>
          <w:sz w:val="28"/>
          <w:szCs w:val="28"/>
        </w:rPr>
      </w:pPr>
      <w:r>
        <w:rPr>
          <w:rFonts w:hint="eastAsia" w:hAnsi="宋体"/>
          <w:color w:val="000000"/>
          <w:sz w:val="28"/>
          <w:szCs w:val="28"/>
        </w:rPr>
        <w:t>各个竞选人可派1-2名代表参与比选，至少1人应为法定代表人或具有法定代表人授权委托书的授权代表。</w:t>
      </w:r>
    </w:p>
    <w:p>
      <w:pPr>
        <w:pStyle w:val="5"/>
        <w:spacing w:before="0" w:after="0" w:line="360" w:lineRule="auto"/>
        <w:rPr>
          <w:rFonts w:ascii="宋体" w:hAnsi="宋体"/>
          <w:color w:val="000000"/>
          <w:sz w:val="28"/>
          <w:szCs w:val="28"/>
        </w:rPr>
      </w:pPr>
      <w:bookmarkStart w:id="110" w:name="_Toc428437953"/>
      <w:bookmarkStart w:id="111" w:name="_Toc31728"/>
      <w:bookmarkStart w:id="112" w:name="_Toc22130"/>
      <w:r>
        <w:rPr>
          <w:rFonts w:hint="eastAsia" w:ascii="宋体" w:hAnsi="宋体"/>
          <w:color w:val="000000"/>
          <w:sz w:val="28"/>
          <w:szCs w:val="28"/>
        </w:rPr>
        <w:t>四、中选人的确认和变更</w:t>
      </w:r>
      <w:bookmarkEnd w:id="110"/>
      <w:bookmarkEnd w:id="111"/>
      <w:bookmarkEnd w:id="112"/>
    </w:p>
    <w:p>
      <w:pPr>
        <w:pStyle w:val="178"/>
        <w:spacing w:line="360" w:lineRule="auto"/>
        <w:ind w:firstLine="560" w:firstLineChars="200"/>
        <w:rPr>
          <w:rFonts w:hAnsi="宋体"/>
          <w:color w:val="000000"/>
          <w:sz w:val="28"/>
          <w:szCs w:val="28"/>
        </w:rPr>
      </w:pPr>
      <w:r>
        <w:rPr>
          <w:rFonts w:hint="eastAsia" w:hAnsi="宋体"/>
          <w:color w:val="000000"/>
          <w:sz w:val="28"/>
          <w:szCs w:val="28"/>
        </w:rPr>
        <w:t>（一）中选人的确认</w:t>
      </w:r>
    </w:p>
    <w:p>
      <w:pPr>
        <w:pStyle w:val="178"/>
        <w:spacing w:line="360" w:lineRule="auto"/>
        <w:ind w:firstLine="560" w:firstLineChars="200"/>
        <w:rPr>
          <w:rFonts w:hAnsi="宋体"/>
          <w:color w:val="000000"/>
          <w:sz w:val="28"/>
          <w:szCs w:val="28"/>
        </w:rPr>
      </w:pPr>
      <w:r>
        <w:rPr>
          <w:rFonts w:hint="eastAsia" w:hAnsi="宋体"/>
          <w:color w:val="000000"/>
          <w:sz w:val="28"/>
          <w:szCs w:val="28"/>
        </w:rPr>
        <w:t>比选代理机构</w:t>
      </w:r>
      <w:r>
        <w:rPr>
          <w:rFonts w:hAnsi="宋体"/>
          <w:color w:val="000000"/>
          <w:sz w:val="28"/>
          <w:szCs w:val="28"/>
        </w:rPr>
        <w:t>应当在评审结束后2个工作日内将评审报告送</w:t>
      </w:r>
      <w:r>
        <w:rPr>
          <w:rFonts w:hint="eastAsia" w:hAnsi="宋体"/>
          <w:color w:val="000000"/>
          <w:sz w:val="28"/>
          <w:szCs w:val="28"/>
        </w:rPr>
        <w:t>比选人</w:t>
      </w:r>
      <w:r>
        <w:rPr>
          <w:rFonts w:hAnsi="宋体"/>
          <w:color w:val="000000"/>
          <w:sz w:val="28"/>
          <w:szCs w:val="28"/>
        </w:rPr>
        <w:t>确认。</w:t>
      </w:r>
      <w:r>
        <w:rPr>
          <w:rFonts w:hint="eastAsia" w:hAnsi="宋体"/>
          <w:color w:val="000000"/>
          <w:sz w:val="28"/>
          <w:szCs w:val="28"/>
        </w:rPr>
        <w:t>比选人</w:t>
      </w:r>
      <w:r>
        <w:rPr>
          <w:rFonts w:hAnsi="宋体"/>
          <w:color w:val="000000"/>
          <w:sz w:val="28"/>
          <w:szCs w:val="28"/>
        </w:rPr>
        <w:t>应当在收到评审报告后5个工作日内</w:t>
      </w:r>
      <w:r>
        <w:rPr>
          <w:rFonts w:hint="eastAsia" w:hAnsi="宋体"/>
          <w:color w:val="000000"/>
          <w:sz w:val="28"/>
          <w:szCs w:val="28"/>
        </w:rPr>
        <w:t>，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pPr>
        <w:pStyle w:val="178"/>
        <w:spacing w:line="360" w:lineRule="auto"/>
        <w:ind w:firstLine="560" w:firstLineChars="200"/>
        <w:rPr>
          <w:rFonts w:hAnsi="宋体"/>
          <w:color w:val="000000"/>
          <w:sz w:val="28"/>
          <w:szCs w:val="28"/>
        </w:rPr>
      </w:pPr>
      <w:r>
        <w:rPr>
          <w:rFonts w:hint="eastAsia" w:hAnsi="宋体"/>
          <w:color w:val="000000"/>
          <w:sz w:val="28"/>
          <w:szCs w:val="28"/>
        </w:rPr>
        <w:t>（二）中选人的变更</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中选人拒绝与比选人签订合同的，比选人可以按照评选报告推荐的中选候选竞选人顺序，确定排名下一位的候选人为中选人，也可以重新开展比选。</w:t>
      </w:r>
    </w:p>
    <w:p>
      <w:pPr>
        <w:pStyle w:val="5"/>
        <w:spacing w:before="0" w:after="0" w:line="360" w:lineRule="auto"/>
        <w:rPr>
          <w:rFonts w:ascii="宋体" w:hAnsi="宋体"/>
          <w:color w:val="000000"/>
          <w:sz w:val="28"/>
          <w:szCs w:val="28"/>
        </w:rPr>
      </w:pPr>
      <w:bookmarkStart w:id="113" w:name="_Toc428437954"/>
      <w:bookmarkStart w:id="114" w:name="_Toc102227321"/>
      <w:bookmarkStart w:id="115" w:name="_Toc342913395"/>
      <w:bookmarkStart w:id="116" w:name="_Toc9624"/>
      <w:bookmarkStart w:id="117" w:name="_Toc7981"/>
      <w:r>
        <w:rPr>
          <w:rFonts w:hint="eastAsia" w:ascii="宋体" w:hAnsi="宋体"/>
          <w:color w:val="000000"/>
          <w:sz w:val="28"/>
          <w:szCs w:val="28"/>
        </w:rPr>
        <w:t>五、中选通知</w:t>
      </w:r>
      <w:bookmarkEnd w:id="113"/>
      <w:bookmarkEnd w:id="114"/>
      <w:bookmarkEnd w:id="115"/>
      <w:bookmarkEnd w:id="116"/>
      <w:bookmarkEnd w:id="117"/>
    </w:p>
    <w:p>
      <w:pPr>
        <w:pStyle w:val="178"/>
        <w:spacing w:line="360" w:lineRule="auto"/>
        <w:ind w:firstLine="560" w:firstLineChars="200"/>
        <w:rPr>
          <w:rFonts w:hAnsi="宋体"/>
          <w:color w:val="000000"/>
          <w:sz w:val="28"/>
          <w:szCs w:val="28"/>
        </w:rPr>
      </w:pPr>
      <w:r>
        <w:rPr>
          <w:rFonts w:hint="eastAsia" w:hAnsi="宋体"/>
          <w:color w:val="000000"/>
          <w:sz w:val="28"/>
          <w:szCs w:val="28"/>
        </w:rPr>
        <w:t>（一）中选人确定后，将在“重庆市统计局”官方网站（http://tjj.cq.gov.cn/）上发布中选结果公告。</w:t>
      </w:r>
    </w:p>
    <w:p>
      <w:pPr>
        <w:pStyle w:val="178"/>
        <w:spacing w:line="360" w:lineRule="auto"/>
        <w:ind w:firstLine="560" w:firstLineChars="200"/>
        <w:rPr>
          <w:rFonts w:hAnsi="宋体"/>
          <w:color w:val="000000"/>
          <w:sz w:val="28"/>
          <w:szCs w:val="28"/>
        </w:rPr>
      </w:pPr>
      <w:r>
        <w:rPr>
          <w:rFonts w:hint="eastAsia" w:hAnsi="宋体"/>
          <w:color w:val="000000"/>
          <w:sz w:val="28"/>
          <w:szCs w:val="28"/>
        </w:rPr>
        <w:t>（二）结果公告发出同时，比选代理机构将以书面形式发出《中选通知书》。《中选通知书》一经发出即发生法律效力。</w:t>
      </w:r>
    </w:p>
    <w:p>
      <w:pPr>
        <w:pStyle w:val="178"/>
        <w:spacing w:line="360" w:lineRule="auto"/>
        <w:ind w:firstLine="560" w:firstLineChars="200"/>
        <w:rPr>
          <w:rFonts w:hAnsi="宋体"/>
          <w:color w:val="000000"/>
          <w:sz w:val="28"/>
          <w:szCs w:val="28"/>
        </w:rPr>
      </w:pPr>
      <w:r>
        <w:rPr>
          <w:rFonts w:hint="eastAsia" w:hAnsi="宋体"/>
          <w:color w:val="000000"/>
          <w:sz w:val="28"/>
          <w:szCs w:val="28"/>
        </w:rPr>
        <w:t>（三）《中选通知书》将作为签订合同的依据。</w:t>
      </w:r>
    </w:p>
    <w:p>
      <w:pPr>
        <w:pStyle w:val="178"/>
        <w:spacing w:line="360" w:lineRule="auto"/>
        <w:ind w:firstLine="560" w:firstLineChars="200"/>
        <w:rPr>
          <w:rFonts w:hAnsi="宋体"/>
          <w:color w:val="000000"/>
          <w:sz w:val="28"/>
          <w:szCs w:val="28"/>
        </w:rPr>
      </w:pPr>
      <w:r>
        <w:rPr>
          <w:rFonts w:hint="eastAsia" w:hAnsi="宋体"/>
          <w:color w:val="000000"/>
          <w:sz w:val="28"/>
          <w:szCs w:val="28"/>
        </w:rPr>
        <w:t>（四）如有竞选人对中选结果提出质疑的，在质疑处理完毕后发出中选通知书。</w:t>
      </w:r>
    </w:p>
    <w:p>
      <w:pPr>
        <w:pStyle w:val="5"/>
        <w:spacing w:before="0" w:after="0" w:line="360" w:lineRule="auto"/>
        <w:rPr>
          <w:rFonts w:ascii="宋体" w:hAnsi="宋体"/>
          <w:color w:val="000000"/>
          <w:sz w:val="28"/>
          <w:szCs w:val="28"/>
        </w:rPr>
      </w:pPr>
      <w:bookmarkStart w:id="118" w:name="_Toc428437955"/>
      <w:bookmarkStart w:id="119" w:name="_Toc422"/>
      <w:bookmarkStart w:id="120" w:name="_Toc27685"/>
      <w:r>
        <w:rPr>
          <w:rFonts w:hint="eastAsia" w:ascii="宋体" w:hAnsi="宋体"/>
          <w:color w:val="000000"/>
          <w:sz w:val="28"/>
          <w:szCs w:val="28"/>
        </w:rPr>
        <w:t>六、关于质疑和投诉</w:t>
      </w:r>
      <w:bookmarkEnd w:id="118"/>
      <w:bookmarkEnd w:id="119"/>
      <w:bookmarkEnd w:id="120"/>
    </w:p>
    <w:p>
      <w:pPr>
        <w:pStyle w:val="178"/>
        <w:spacing w:line="360" w:lineRule="auto"/>
        <w:ind w:firstLine="560" w:firstLineChars="200"/>
        <w:rPr>
          <w:rFonts w:hAnsi="宋体"/>
          <w:color w:val="000000"/>
          <w:sz w:val="28"/>
          <w:szCs w:val="28"/>
        </w:rPr>
      </w:pPr>
      <w:r>
        <w:rPr>
          <w:rFonts w:hint="eastAsia" w:hAnsi="宋体"/>
          <w:color w:val="000000"/>
          <w:sz w:val="28"/>
          <w:szCs w:val="28"/>
        </w:rPr>
        <w:t>（一）质疑内容、时限</w:t>
      </w:r>
    </w:p>
    <w:p>
      <w:pPr>
        <w:spacing w:line="360" w:lineRule="auto"/>
        <w:ind w:firstLine="560" w:firstLineChars="200"/>
        <w:rPr>
          <w:rFonts w:ascii="宋体" w:hAnsi="宋体"/>
          <w:color w:val="000000"/>
          <w:szCs w:val="28"/>
        </w:rPr>
      </w:pPr>
      <w:r>
        <w:rPr>
          <w:rFonts w:hint="eastAsia" w:ascii="宋体" w:hAnsi="宋体"/>
          <w:color w:val="000000"/>
          <w:szCs w:val="28"/>
        </w:rPr>
        <w:t>1.竞选人对竞争性比选文件的质疑时间为公告发布之时至2021年  月 日12时00分，请竞选人在质疑时间内，书面形式向比选人或比选代理机构提出质疑，并附相关证明材料。</w:t>
      </w:r>
    </w:p>
    <w:p>
      <w:pPr>
        <w:spacing w:line="360" w:lineRule="auto"/>
        <w:ind w:firstLine="560" w:firstLineChars="200"/>
        <w:rPr>
          <w:rFonts w:ascii="宋体" w:hAnsi="宋体"/>
          <w:color w:val="000000"/>
          <w:szCs w:val="28"/>
        </w:rPr>
      </w:pPr>
      <w:r>
        <w:rPr>
          <w:rFonts w:hint="eastAsia" w:ascii="宋体" w:hAnsi="宋体"/>
          <w:color w:val="000000"/>
          <w:szCs w:val="28"/>
        </w:rPr>
        <w:t>2.竞选人对评审结果的质疑时间为结果公告期满后3个工作日，请竞选人在质疑时间内，书面形式向比选人或比选代理机构提出质疑，并附相关证明材料。</w:t>
      </w:r>
    </w:p>
    <w:p>
      <w:pPr>
        <w:spacing w:line="360" w:lineRule="auto"/>
        <w:ind w:firstLine="560" w:firstLineChars="200"/>
        <w:rPr>
          <w:rFonts w:ascii="宋体" w:hAnsi="宋体"/>
          <w:color w:val="000000"/>
          <w:szCs w:val="28"/>
        </w:rPr>
      </w:pPr>
      <w:r>
        <w:rPr>
          <w:rFonts w:hint="eastAsia" w:ascii="宋体" w:hAnsi="宋体"/>
          <w:color w:val="000000"/>
          <w:szCs w:val="28"/>
        </w:rPr>
        <w:t>（二）质疑答复</w:t>
      </w:r>
    </w:p>
    <w:p>
      <w:pPr>
        <w:spacing w:line="360" w:lineRule="auto"/>
        <w:ind w:firstLine="560" w:firstLineChars="200"/>
        <w:rPr>
          <w:rFonts w:ascii="宋体" w:hAnsi="宋体"/>
          <w:color w:val="000000"/>
          <w:szCs w:val="28"/>
        </w:rPr>
      </w:pPr>
      <w:r>
        <w:rPr>
          <w:rFonts w:hint="eastAsia" w:ascii="宋体" w:hAnsi="宋体"/>
          <w:color w:val="000000"/>
          <w:szCs w:val="28"/>
        </w:rPr>
        <w:t>在收到质疑后，3个工作日内答复。</w:t>
      </w:r>
    </w:p>
    <w:p>
      <w:pPr>
        <w:spacing w:line="360" w:lineRule="auto"/>
        <w:ind w:firstLine="560" w:firstLineChars="200"/>
        <w:rPr>
          <w:rFonts w:ascii="宋体" w:hAnsi="宋体"/>
          <w:color w:val="000000"/>
          <w:szCs w:val="28"/>
        </w:rPr>
      </w:pPr>
      <w:r>
        <w:rPr>
          <w:rFonts w:hint="eastAsia" w:ascii="宋体" w:hAnsi="宋体"/>
          <w:color w:val="000000"/>
          <w:szCs w:val="28"/>
        </w:rPr>
        <w:t xml:space="preserve">   （三）不予受理或暂缓受理</w:t>
      </w:r>
    </w:p>
    <w:p>
      <w:pPr>
        <w:spacing w:line="360" w:lineRule="auto"/>
        <w:ind w:firstLine="560" w:firstLineChars="200"/>
        <w:rPr>
          <w:rFonts w:ascii="宋体" w:hAnsi="宋体"/>
          <w:color w:val="000000"/>
          <w:szCs w:val="28"/>
        </w:rPr>
      </w:pPr>
      <w:r>
        <w:rPr>
          <w:rFonts w:hint="eastAsia" w:ascii="宋体" w:hAnsi="宋体"/>
          <w:color w:val="000000"/>
          <w:szCs w:val="28"/>
        </w:rPr>
        <w:t>1．质疑有下列情形之一的，不予受理：</w:t>
      </w:r>
    </w:p>
    <w:p>
      <w:pPr>
        <w:spacing w:line="360" w:lineRule="auto"/>
        <w:ind w:firstLine="560" w:firstLineChars="200"/>
        <w:rPr>
          <w:rFonts w:ascii="宋体" w:hAnsi="宋体"/>
          <w:color w:val="000000"/>
          <w:szCs w:val="28"/>
        </w:rPr>
      </w:pPr>
      <w:r>
        <w:rPr>
          <w:rFonts w:hint="eastAsia" w:ascii="宋体" w:hAnsi="宋体"/>
          <w:color w:val="000000"/>
          <w:szCs w:val="28"/>
        </w:rPr>
        <w:t>1.1质疑竞选人参与了比选活动后，再对竞争性比选文件内容提出质疑的；</w:t>
      </w:r>
    </w:p>
    <w:p>
      <w:pPr>
        <w:spacing w:line="360" w:lineRule="auto"/>
        <w:ind w:firstLine="560" w:firstLineChars="200"/>
        <w:rPr>
          <w:rFonts w:ascii="宋体" w:hAnsi="宋体"/>
          <w:color w:val="000000"/>
          <w:szCs w:val="28"/>
        </w:rPr>
      </w:pPr>
      <w:r>
        <w:rPr>
          <w:rFonts w:hint="eastAsia" w:ascii="宋体" w:hAnsi="宋体"/>
          <w:color w:val="000000"/>
          <w:szCs w:val="28"/>
        </w:rPr>
        <w:t>1.2质疑超过有效期的；</w:t>
      </w:r>
    </w:p>
    <w:p>
      <w:pPr>
        <w:spacing w:line="360" w:lineRule="auto"/>
        <w:ind w:firstLine="560" w:firstLineChars="200"/>
        <w:rPr>
          <w:rFonts w:ascii="宋体" w:hAnsi="宋体"/>
          <w:color w:val="000000"/>
          <w:szCs w:val="28"/>
        </w:rPr>
      </w:pPr>
      <w:r>
        <w:rPr>
          <w:rFonts w:hint="eastAsia" w:ascii="宋体" w:hAnsi="宋体"/>
          <w:color w:val="000000"/>
          <w:szCs w:val="28"/>
        </w:rPr>
        <w:t>1.3对同一事项重复质疑的。</w:t>
      </w:r>
    </w:p>
    <w:p>
      <w:pPr>
        <w:spacing w:line="360" w:lineRule="auto"/>
        <w:ind w:firstLine="560" w:firstLineChars="200"/>
        <w:rPr>
          <w:rFonts w:ascii="宋体" w:hAnsi="宋体"/>
          <w:color w:val="000000"/>
          <w:szCs w:val="28"/>
        </w:rPr>
      </w:pPr>
      <w:r>
        <w:rPr>
          <w:rFonts w:hint="eastAsia" w:ascii="宋体" w:hAnsi="宋体"/>
          <w:color w:val="000000"/>
          <w:szCs w:val="28"/>
        </w:rPr>
        <w:t>2．质疑有下列情形之一的，应暂不受理并告知竞选人补充材料。竞选人及时补充材料的，应予受理；逾期未补充的，不予受理：</w:t>
      </w:r>
    </w:p>
    <w:p>
      <w:pPr>
        <w:spacing w:line="360" w:lineRule="auto"/>
        <w:ind w:firstLine="560" w:firstLineChars="200"/>
        <w:rPr>
          <w:rFonts w:ascii="宋体" w:hAnsi="宋体"/>
          <w:color w:val="000000"/>
          <w:szCs w:val="28"/>
        </w:rPr>
      </w:pPr>
      <w:r>
        <w:rPr>
          <w:rFonts w:hint="eastAsia" w:ascii="宋体" w:hAnsi="宋体"/>
          <w:color w:val="000000"/>
          <w:szCs w:val="28"/>
        </w:rPr>
        <w:t>2.1质疑书格式和内容不符合国家或重庆市相关规定的；</w:t>
      </w:r>
    </w:p>
    <w:p>
      <w:pPr>
        <w:spacing w:line="360" w:lineRule="auto"/>
        <w:ind w:firstLine="560" w:firstLineChars="200"/>
        <w:rPr>
          <w:rFonts w:ascii="宋体" w:hAnsi="宋体"/>
          <w:color w:val="000000"/>
          <w:szCs w:val="28"/>
        </w:rPr>
      </w:pPr>
      <w:r>
        <w:rPr>
          <w:rFonts w:hint="eastAsia" w:ascii="宋体" w:hAnsi="宋体"/>
          <w:color w:val="000000"/>
          <w:szCs w:val="28"/>
        </w:rPr>
        <w:t>2.2质疑书提供的依据或证明材料不全的。</w:t>
      </w:r>
    </w:p>
    <w:p>
      <w:pPr>
        <w:pStyle w:val="5"/>
        <w:spacing w:before="0" w:after="0" w:line="360" w:lineRule="auto"/>
        <w:rPr>
          <w:rFonts w:ascii="宋体" w:hAnsi="宋体"/>
          <w:color w:val="000000"/>
          <w:sz w:val="28"/>
          <w:szCs w:val="28"/>
        </w:rPr>
      </w:pPr>
      <w:bookmarkStart w:id="121" w:name="_Toc428437956"/>
      <w:bookmarkStart w:id="122" w:name="_Toc19991"/>
      <w:bookmarkStart w:id="123" w:name="_Toc28976"/>
      <w:r>
        <w:rPr>
          <w:rFonts w:hint="eastAsia" w:ascii="宋体" w:hAnsi="宋体"/>
          <w:color w:val="000000"/>
          <w:sz w:val="28"/>
          <w:szCs w:val="28"/>
        </w:rPr>
        <w:t>七、比选代理服务费</w:t>
      </w:r>
      <w:bookmarkEnd w:id="121"/>
      <w:bookmarkEnd w:id="122"/>
      <w:bookmarkEnd w:id="123"/>
    </w:p>
    <w:p>
      <w:pPr>
        <w:spacing w:line="360" w:lineRule="auto"/>
        <w:ind w:firstLine="560" w:firstLineChars="200"/>
        <w:rPr>
          <w:rFonts w:ascii="宋体" w:hAnsi="宋体" w:cs="宋体"/>
          <w:b/>
          <w:szCs w:val="28"/>
        </w:rPr>
      </w:pPr>
      <w:bookmarkStart w:id="124" w:name="OLE_LINK8"/>
      <w:bookmarkStart w:id="125" w:name="OLE_LINK7"/>
      <w:bookmarkStart w:id="126" w:name="_Toc102227322"/>
      <w:bookmarkStart w:id="127" w:name="_Toc428437958"/>
      <w:bookmarkStart w:id="128" w:name="_Toc342913396"/>
      <w:r>
        <w:rPr>
          <w:rFonts w:hint="eastAsia" w:ascii="宋体" w:hAnsi="宋体" w:cs="宋体"/>
          <w:szCs w:val="28"/>
        </w:rPr>
        <w:t>1.竞选人中选后向比选代理机构缴纳比选代理服务费，本项目比选代理服务费为4500元整。</w:t>
      </w:r>
    </w:p>
    <w:bookmarkEnd w:id="124"/>
    <w:bookmarkEnd w:id="125"/>
    <w:p>
      <w:pPr>
        <w:spacing w:line="360" w:lineRule="auto"/>
        <w:ind w:firstLine="560" w:firstLineChars="200"/>
        <w:rPr>
          <w:rFonts w:ascii="宋体" w:hAnsi="宋体" w:cs="宋体"/>
          <w:szCs w:val="28"/>
        </w:rPr>
      </w:pPr>
      <w:r>
        <w:rPr>
          <w:rFonts w:hint="eastAsia" w:ascii="宋体" w:hAnsi="宋体" w:cs="宋体"/>
          <w:szCs w:val="28"/>
        </w:rPr>
        <w:t>2.比选代理服务费缴纳账号：</w:t>
      </w:r>
    </w:p>
    <w:p>
      <w:pPr>
        <w:spacing w:line="360" w:lineRule="auto"/>
        <w:ind w:firstLine="560" w:firstLineChars="200"/>
        <w:rPr>
          <w:rFonts w:ascii="宋体" w:hAnsi="宋体" w:cs="宋体"/>
          <w:szCs w:val="28"/>
        </w:rPr>
      </w:pPr>
      <w:r>
        <w:rPr>
          <w:rFonts w:hint="eastAsia" w:ascii="宋体" w:hAnsi="宋体" w:cs="宋体"/>
          <w:szCs w:val="28"/>
        </w:rPr>
        <w:t>户    名：瀚景项目管理有限公司重庆分公司</w:t>
      </w:r>
    </w:p>
    <w:p>
      <w:pPr>
        <w:spacing w:line="360" w:lineRule="auto"/>
        <w:ind w:firstLine="560" w:firstLineChars="200"/>
        <w:rPr>
          <w:rFonts w:ascii="宋体" w:hAnsi="宋体" w:cs="宋体"/>
          <w:szCs w:val="28"/>
        </w:rPr>
      </w:pPr>
      <w:r>
        <w:rPr>
          <w:rFonts w:hint="eastAsia" w:ascii="宋体" w:hAnsi="宋体" w:cs="宋体"/>
          <w:szCs w:val="28"/>
        </w:rPr>
        <w:t>账    号：</w:t>
      </w:r>
      <w:r>
        <w:rPr>
          <w:rFonts w:hint="eastAsia" w:ascii="宋体" w:hAnsi="宋体"/>
          <w:color w:val="000000"/>
          <w:szCs w:val="28"/>
        </w:rPr>
        <w:t>123908446310202</w:t>
      </w:r>
    </w:p>
    <w:p>
      <w:pPr>
        <w:spacing w:line="360" w:lineRule="auto"/>
        <w:ind w:firstLine="560" w:firstLineChars="200"/>
        <w:rPr>
          <w:rFonts w:ascii="宋体" w:hAnsi="宋体"/>
          <w:color w:val="000000"/>
          <w:szCs w:val="28"/>
        </w:rPr>
      </w:pPr>
      <w:r>
        <w:rPr>
          <w:rFonts w:hint="eastAsia" w:ascii="宋体" w:hAnsi="宋体" w:cs="宋体"/>
          <w:szCs w:val="28"/>
        </w:rPr>
        <w:t>开户银行：</w:t>
      </w:r>
      <w:r>
        <w:rPr>
          <w:rFonts w:hint="eastAsia" w:ascii="宋体" w:hAnsi="宋体"/>
          <w:color w:val="000000"/>
          <w:szCs w:val="28"/>
        </w:rPr>
        <w:t>招商银行股份有限公司重庆大学城支行</w:t>
      </w:r>
    </w:p>
    <w:p>
      <w:pPr>
        <w:spacing w:line="360" w:lineRule="auto"/>
        <w:ind w:firstLine="560" w:firstLineChars="200"/>
        <w:rPr>
          <w:rFonts w:ascii="宋体" w:hAnsi="宋体"/>
          <w:color w:val="000000"/>
          <w:szCs w:val="28"/>
        </w:rPr>
      </w:pPr>
      <w:r>
        <w:rPr>
          <w:rFonts w:hint="eastAsia" w:ascii="宋体" w:hAnsi="宋体"/>
          <w:color w:val="000000"/>
          <w:szCs w:val="28"/>
        </w:rPr>
        <w:t>备    注：项目名称或项目编号+代理费（项目名称可简写）</w:t>
      </w:r>
    </w:p>
    <w:p>
      <w:pPr>
        <w:pStyle w:val="5"/>
        <w:spacing w:before="0" w:after="0" w:line="360" w:lineRule="auto"/>
        <w:rPr>
          <w:rFonts w:ascii="宋体" w:hAnsi="宋体"/>
          <w:color w:val="000000"/>
          <w:sz w:val="28"/>
          <w:szCs w:val="28"/>
        </w:rPr>
      </w:pPr>
      <w:bookmarkStart w:id="129" w:name="_Toc17382"/>
      <w:bookmarkStart w:id="130" w:name="_Toc14823"/>
      <w:r>
        <w:rPr>
          <w:rFonts w:hint="eastAsia" w:ascii="宋体" w:hAnsi="宋体"/>
          <w:color w:val="000000"/>
          <w:sz w:val="28"/>
          <w:szCs w:val="28"/>
        </w:rPr>
        <w:t>八、签订</w:t>
      </w:r>
      <w:bookmarkEnd w:id="126"/>
      <w:r>
        <w:rPr>
          <w:rFonts w:hint="eastAsia" w:ascii="宋体" w:hAnsi="宋体"/>
          <w:color w:val="000000"/>
          <w:sz w:val="28"/>
          <w:szCs w:val="28"/>
        </w:rPr>
        <w:t>合同</w:t>
      </w:r>
      <w:bookmarkEnd w:id="127"/>
      <w:bookmarkEnd w:id="128"/>
      <w:bookmarkEnd w:id="129"/>
      <w:bookmarkEnd w:id="130"/>
    </w:p>
    <w:p>
      <w:pPr>
        <w:snapToGrid w:val="0"/>
        <w:spacing w:line="360" w:lineRule="auto"/>
        <w:ind w:firstLine="560" w:firstLineChars="200"/>
        <w:rPr>
          <w:rFonts w:ascii="宋体" w:hAnsi="宋体"/>
          <w:color w:val="000000"/>
          <w:szCs w:val="28"/>
        </w:rPr>
      </w:pPr>
      <w:r>
        <w:rPr>
          <w:rFonts w:hint="eastAsia" w:ascii="宋体" w:hAnsi="宋体"/>
          <w:color w:val="000000"/>
          <w:szCs w:val="28"/>
        </w:rPr>
        <w:t>（一）比选人应当自中选通知书发出之日起三十日内，按照竞争性比选文件和中选人竞选文件的约定，与中选人签订书面合同。所签订的合同不得对竞争性比选文件和竞选人的竞选文件作实质性修改。</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（二）竞争性比选文件、竞选人的竞选文件及澄清文件等，均为签订采购合同的依据。</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（三）合同生效条款由供需双方约定，法律、行政法规规定应当办理批准、登记等手续后生效的合同，依照其规定。</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（四）合同原则上应按照《采购合同》签订，相关单位要求适用合同通用格式版本的，应按其要求另行签订其他合同。</w:t>
      </w:r>
    </w:p>
    <w:p>
      <w:pPr>
        <w:pStyle w:val="4"/>
        <w:spacing w:line="480" w:lineRule="exact"/>
        <w:jc w:val="center"/>
        <w:rPr>
          <w:rFonts w:ascii="宋体" w:hAnsi="宋体" w:eastAsia="宋体"/>
          <w:color w:val="000000"/>
          <w:sz w:val="36"/>
          <w:szCs w:val="36"/>
        </w:rPr>
      </w:pPr>
      <w:r>
        <w:rPr>
          <w:rFonts w:ascii="宋体" w:hAnsi="宋体"/>
          <w:color w:val="000000"/>
          <w:sz w:val="28"/>
          <w:szCs w:val="28"/>
        </w:rPr>
        <w:br w:type="page"/>
      </w:r>
      <w:bookmarkStart w:id="131" w:name="_Toc6726"/>
      <w:bookmarkStart w:id="132" w:name="_Toc17712"/>
      <w:r>
        <w:rPr>
          <w:rFonts w:hint="eastAsia" w:ascii="宋体" w:hAnsi="宋体" w:eastAsia="宋体"/>
          <w:color w:val="000000"/>
          <w:sz w:val="36"/>
          <w:szCs w:val="36"/>
        </w:rPr>
        <w:t>第</w:t>
      </w:r>
      <w:r>
        <w:rPr>
          <w:rFonts w:ascii="宋体" w:hAnsi="宋体" w:eastAsia="宋体"/>
          <w:color w:val="000000"/>
          <w:sz w:val="36"/>
          <w:szCs w:val="36"/>
        </w:rPr>
        <w:t>六篇</w:t>
      </w:r>
      <w:r>
        <w:rPr>
          <w:rFonts w:hint="eastAsia" w:ascii="宋体" w:hAnsi="宋体" w:eastAsia="宋体"/>
          <w:color w:val="000000"/>
          <w:sz w:val="36"/>
          <w:szCs w:val="36"/>
        </w:rPr>
        <w:t xml:space="preserve">  采购合同（参考格式）</w:t>
      </w:r>
      <w:bookmarkEnd w:id="131"/>
      <w:bookmarkEnd w:id="132"/>
    </w:p>
    <w:p>
      <w:pPr>
        <w:spacing w:line="500" w:lineRule="exact"/>
        <w:jc w:val="center"/>
        <w:rPr>
          <w:rFonts w:ascii="宋体" w:hAnsi="宋体"/>
          <w:b/>
          <w:sz w:val="44"/>
        </w:rPr>
      </w:pPr>
      <w:r>
        <w:rPr>
          <w:rFonts w:hint="eastAsia" w:ascii="宋体" w:hAnsi="宋体"/>
          <w:b/>
          <w:sz w:val="44"/>
        </w:rPr>
        <w:t>采购合同</w:t>
      </w:r>
    </w:p>
    <w:p>
      <w:pPr>
        <w:spacing w:line="500" w:lineRule="exact"/>
        <w:jc w:val="center"/>
        <w:rPr>
          <w:rFonts w:ascii="宋体" w:hAnsi="宋体"/>
        </w:rPr>
      </w:pPr>
      <w:r>
        <w:rPr>
          <w:rFonts w:hint="eastAsia" w:ascii="宋体" w:hAnsi="宋体"/>
        </w:rPr>
        <w:t>（项目编号：     ）</w:t>
      </w:r>
    </w:p>
    <w:p>
      <w:pPr>
        <w:spacing w:line="500" w:lineRule="exact"/>
        <w:rPr>
          <w:rFonts w:ascii="宋体" w:hAnsi="宋体"/>
          <w:sz w:val="24"/>
        </w:rPr>
      </w:pPr>
      <w:r>
        <w:rPr>
          <w:rFonts w:hint="eastAsia" w:ascii="宋体" w:hAnsi="宋体"/>
          <w:sz w:val="24"/>
        </w:rPr>
        <w:t>甲方（需方）：___________________________      计价单位：____________</w:t>
      </w:r>
    </w:p>
    <w:p>
      <w:pPr>
        <w:spacing w:line="500" w:lineRule="exact"/>
        <w:rPr>
          <w:rFonts w:ascii="宋体" w:hAnsi="宋体"/>
          <w:sz w:val="24"/>
        </w:rPr>
      </w:pPr>
      <w:r>
        <w:rPr>
          <w:rFonts w:hint="eastAsia" w:ascii="宋体" w:hAnsi="宋体"/>
          <w:sz w:val="24"/>
        </w:rPr>
        <w:t>乙方（供方）：___________________________      计量单位：_____________</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经双方协商一致，达成以下购销合同：</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3071" w:type="dxa"/>
            <w:vAlign w:val="center"/>
          </w:tcPr>
          <w:p>
            <w:pPr>
              <w:spacing w:line="240" w:lineRule="atLeast"/>
              <w:jc w:val="center"/>
              <w:rPr>
                <w:rFonts w:ascii="宋体" w:hAnsi="宋体"/>
                <w:sz w:val="21"/>
                <w:szCs w:val="21"/>
              </w:rPr>
            </w:pPr>
            <w:r>
              <w:rPr>
                <w:rFonts w:hint="eastAsia" w:ascii="宋体" w:hAnsi="宋体"/>
                <w:sz w:val="21"/>
                <w:szCs w:val="21"/>
              </w:rPr>
              <w:t>项目名称</w:t>
            </w:r>
          </w:p>
        </w:tc>
        <w:tc>
          <w:tcPr>
            <w:tcW w:w="984" w:type="dxa"/>
            <w:vAlign w:val="center"/>
          </w:tcPr>
          <w:p>
            <w:pPr>
              <w:spacing w:line="240" w:lineRule="atLeast"/>
              <w:jc w:val="center"/>
              <w:rPr>
                <w:rFonts w:ascii="宋体" w:hAnsi="宋体"/>
                <w:sz w:val="21"/>
                <w:szCs w:val="21"/>
              </w:rPr>
            </w:pPr>
            <w:r>
              <w:rPr>
                <w:rFonts w:hint="eastAsia" w:ascii="宋体" w:hAnsi="宋体"/>
                <w:sz w:val="21"/>
                <w:szCs w:val="21"/>
              </w:rPr>
              <w:t>服务人员配置</w:t>
            </w:r>
          </w:p>
        </w:tc>
        <w:tc>
          <w:tcPr>
            <w:tcW w:w="1298" w:type="dxa"/>
            <w:gridSpan w:val="2"/>
            <w:vAlign w:val="center"/>
          </w:tcPr>
          <w:p>
            <w:pPr>
              <w:spacing w:line="240" w:lineRule="atLeast"/>
              <w:jc w:val="center"/>
              <w:rPr>
                <w:rFonts w:ascii="宋体" w:hAnsi="宋体"/>
                <w:sz w:val="21"/>
                <w:szCs w:val="21"/>
              </w:rPr>
            </w:pPr>
            <w:r>
              <w:rPr>
                <w:rFonts w:hint="eastAsia" w:ascii="宋体" w:hAnsi="宋体"/>
                <w:sz w:val="21"/>
                <w:szCs w:val="21"/>
              </w:rPr>
              <w:t>服务期限</w:t>
            </w:r>
          </w:p>
        </w:tc>
        <w:tc>
          <w:tcPr>
            <w:tcW w:w="1134" w:type="dxa"/>
            <w:vAlign w:val="center"/>
          </w:tcPr>
          <w:p>
            <w:pPr>
              <w:spacing w:line="240" w:lineRule="atLeast"/>
              <w:jc w:val="center"/>
              <w:rPr>
                <w:rFonts w:ascii="宋体" w:hAnsi="宋体"/>
                <w:sz w:val="21"/>
                <w:szCs w:val="21"/>
              </w:rPr>
            </w:pPr>
            <w:r>
              <w:rPr>
                <w:rFonts w:hint="eastAsia" w:ascii="宋体" w:hAnsi="宋体"/>
                <w:sz w:val="21"/>
                <w:szCs w:val="21"/>
              </w:rPr>
              <w:t>时间节点安排</w:t>
            </w:r>
          </w:p>
        </w:tc>
        <w:tc>
          <w:tcPr>
            <w:tcW w:w="1559" w:type="dxa"/>
            <w:vAlign w:val="center"/>
          </w:tcPr>
          <w:p>
            <w:pPr>
              <w:spacing w:line="240" w:lineRule="atLeast"/>
              <w:jc w:val="center"/>
              <w:rPr>
                <w:rFonts w:ascii="宋体" w:hAnsi="宋体"/>
                <w:sz w:val="21"/>
                <w:szCs w:val="21"/>
              </w:rPr>
            </w:pPr>
            <w:r>
              <w:rPr>
                <w:rFonts w:hint="eastAsia" w:ascii="宋体" w:hAnsi="宋体"/>
                <w:sz w:val="21"/>
                <w:szCs w:val="21"/>
              </w:rPr>
              <w:t>正式成果文件提交截止时间</w:t>
            </w:r>
          </w:p>
        </w:tc>
        <w:tc>
          <w:tcPr>
            <w:tcW w:w="1567" w:type="dxa"/>
            <w:vAlign w:val="center"/>
          </w:tcPr>
          <w:p>
            <w:pPr>
              <w:spacing w:line="240" w:lineRule="atLeast"/>
              <w:jc w:val="center"/>
              <w:rPr>
                <w:rFonts w:ascii="宋体" w:hAnsi="宋体"/>
                <w:sz w:val="21"/>
                <w:szCs w:val="21"/>
              </w:rPr>
            </w:pPr>
            <w:r>
              <w:rPr>
                <w:rFonts w:hint="eastAsia" w:ascii="宋体" w:hAnsi="宋体"/>
                <w:sz w:val="21"/>
                <w:szCs w:val="21"/>
              </w:rPr>
              <w:t>正式成果文件提交份数及形式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3071" w:type="dxa"/>
            <w:vAlign w:val="center"/>
          </w:tcPr>
          <w:p>
            <w:pPr>
              <w:spacing w:line="240" w:lineRule="atLeast"/>
              <w:jc w:val="center"/>
              <w:rPr>
                <w:rFonts w:ascii="宋体" w:hAnsi="宋体"/>
                <w:sz w:val="21"/>
                <w:szCs w:val="21"/>
              </w:rPr>
            </w:pPr>
          </w:p>
        </w:tc>
        <w:tc>
          <w:tcPr>
            <w:tcW w:w="984" w:type="dxa"/>
            <w:vAlign w:val="center"/>
          </w:tcPr>
          <w:p>
            <w:pPr>
              <w:spacing w:line="240" w:lineRule="atLeast"/>
              <w:jc w:val="center"/>
              <w:rPr>
                <w:rFonts w:ascii="宋体" w:hAnsi="宋体"/>
                <w:sz w:val="21"/>
                <w:szCs w:val="21"/>
              </w:rPr>
            </w:pPr>
          </w:p>
        </w:tc>
        <w:tc>
          <w:tcPr>
            <w:tcW w:w="1298" w:type="dxa"/>
            <w:gridSpan w:val="2"/>
            <w:vAlign w:val="center"/>
          </w:tcPr>
          <w:p>
            <w:pPr>
              <w:spacing w:line="240" w:lineRule="atLeast"/>
              <w:jc w:val="center"/>
              <w:rPr>
                <w:rFonts w:ascii="宋体" w:hAnsi="宋体"/>
                <w:sz w:val="21"/>
                <w:szCs w:val="21"/>
              </w:rPr>
            </w:pPr>
          </w:p>
        </w:tc>
        <w:tc>
          <w:tcPr>
            <w:tcW w:w="1134" w:type="dxa"/>
            <w:vAlign w:val="center"/>
          </w:tcPr>
          <w:p>
            <w:pPr>
              <w:spacing w:line="240" w:lineRule="atLeast"/>
              <w:jc w:val="center"/>
              <w:rPr>
                <w:rFonts w:ascii="宋体" w:hAnsi="宋体"/>
                <w:sz w:val="21"/>
                <w:szCs w:val="21"/>
              </w:rPr>
            </w:pPr>
          </w:p>
        </w:tc>
        <w:tc>
          <w:tcPr>
            <w:tcW w:w="1559" w:type="dxa"/>
            <w:vAlign w:val="center"/>
          </w:tcPr>
          <w:p>
            <w:pPr>
              <w:spacing w:line="240" w:lineRule="atLeast"/>
              <w:jc w:val="center"/>
              <w:rPr>
                <w:rFonts w:ascii="宋体" w:hAnsi="宋体"/>
                <w:sz w:val="21"/>
                <w:szCs w:val="21"/>
              </w:rPr>
            </w:pPr>
          </w:p>
        </w:tc>
        <w:tc>
          <w:tcPr>
            <w:tcW w:w="1567" w:type="dxa"/>
            <w:vAlign w:val="center"/>
          </w:tcPr>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3071" w:type="dxa"/>
            <w:vAlign w:val="center"/>
          </w:tcPr>
          <w:p>
            <w:pPr>
              <w:spacing w:line="240" w:lineRule="atLeast"/>
              <w:jc w:val="center"/>
              <w:rPr>
                <w:rFonts w:ascii="宋体" w:hAnsi="宋体"/>
                <w:sz w:val="21"/>
                <w:szCs w:val="21"/>
              </w:rPr>
            </w:pPr>
          </w:p>
        </w:tc>
        <w:tc>
          <w:tcPr>
            <w:tcW w:w="984" w:type="dxa"/>
            <w:vAlign w:val="center"/>
          </w:tcPr>
          <w:p>
            <w:pPr>
              <w:spacing w:line="240" w:lineRule="atLeast"/>
              <w:jc w:val="center"/>
              <w:rPr>
                <w:rFonts w:ascii="宋体" w:hAnsi="宋体"/>
                <w:sz w:val="21"/>
                <w:szCs w:val="21"/>
              </w:rPr>
            </w:pPr>
          </w:p>
        </w:tc>
        <w:tc>
          <w:tcPr>
            <w:tcW w:w="1298" w:type="dxa"/>
            <w:gridSpan w:val="2"/>
            <w:vAlign w:val="center"/>
          </w:tcPr>
          <w:p>
            <w:pPr>
              <w:spacing w:line="240" w:lineRule="atLeast"/>
              <w:jc w:val="center"/>
              <w:rPr>
                <w:rFonts w:ascii="宋体" w:hAnsi="宋体"/>
                <w:sz w:val="21"/>
                <w:szCs w:val="21"/>
              </w:rPr>
            </w:pPr>
          </w:p>
        </w:tc>
        <w:tc>
          <w:tcPr>
            <w:tcW w:w="1134" w:type="dxa"/>
            <w:vAlign w:val="center"/>
          </w:tcPr>
          <w:p>
            <w:pPr>
              <w:spacing w:line="240" w:lineRule="atLeast"/>
              <w:jc w:val="center"/>
              <w:rPr>
                <w:rFonts w:ascii="宋体" w:hAnsi="宋体"/>
                <w:sz w:val="21"/>
                <w:szCs w:val="21"/>
              </w:rPr>
            </w:pPr>
          </w:p>
        </w:tc>
        <w:tc>
          <w:tcPr>
            <w:tcW w:w="1559" w:type="dxa"/>
            <w:vAlign w:val="center"/>
          </w:tcPr>
          <w:p>
            <w:pPr>
              <w:spacing w:line="240" w:lineRule="atLeast"/>
              <w:jc w:val="center"/>
              <w:rPr>
                <w:rFonts w:ascii="宋体" w:hAnsi="宋体"/>
                <w:sz w:val="21"/>
                <w:szCs w:val="21"/>
              </w:rPr>
            </w:pPr>
          </w:p>
        </w:tc>
        <w:tc>
          <w:tcPr>
            <w:tcW w:w="1567" w:type="dxa"/>
            <w:vAlign w:val="center"/>
          </w:tcPr>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宋体" w:hAnsi="宋体"/>
                <w:sz w:val="21"/>
                <w:szCs w:val="21"/>
              </w:rPr>
            </w:pPr>
            <w:r>
              <w:rPr>
                <w:rFonts w:hint="eastAsia" w:ascii="宋体" w:hAnsi="宋体"/>
                <w:sz w:val="21"/>
                <w:szCs w:val="21"/>
              </w:rPr>
              <w:t>一、服务技术要求及成果提交质量要求：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240" w:lineRule="atLeast"/>
              <w:rPr>
                <w:rFonts w:ascii="宋体" w:hAnsi="宋体"/>
                <w:sz w:val="21"/>
                <w:szCs w:val="21"/>
              </w:rPr>
            </w:pPr>
            <w:r>
              <w:rPr>
                <w:rFonts w:hint="eastAsia" w:ascii="宋体" w:hAnsi="宋体"/>
                <w:sz w:val="21"/>
                <w:szCs w:val="21"/>
              </w:rPr>
              <w:t>二、编制服务费计算比例及付款方式：</w:t>
            </w:r>
          </w:p>
          <w:p>
            <w:pPr>
              <w:pStyle w:val="35"/>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9628" w:type="dxa"/>
            <w:gridSpan w:val="8"/>
          </w:tcPr>
          <w:p>
            <w:pPr>
              <w:spacing w:line="240" w:lineRule="atLeast"/>
              <w:rPr>
                <w:rFonts w:ascii="宋体" w:hAnsi="宋体"/>
                <w:sz w:val="21"/>
                <w:szCs w:val="21"/>
              </w:rPr>
            </w:pPr>
            <w:r>
              <w:rPr>
                <w:rFonts w:hint="eastAsia" w:ascii="宋体" w:hAnsi="宋体"/>
                <w:sz w:val="21"/>
                <w:szCs w:val="21"/>
              </w:rPr>
              <w:t>三、违约责任：</w:t>
            </w:r>
          </w:p>
          <w:p>
            <w:pPr>
              <w:spacing w:line="240" w:lineRule="atLeast"/>
              <w:rPr>
                <w:rFonts w:ascii="宋体" w:hAnsi="宋体"/>
                <w:sz w:val="21"/>
                <w:szCs w:val="21"/>
              </w:rPr>
            </w:pPr>
            <w:r>
              <w:rPr>
                <w:rFonts w:hint="eastAsia" w:ascii="宋体" w:hAnsi="宋体"/>
                <w:sz w:val="21"/>
                <w:szCs w:val="21"/>
              </w:rPr>
              <w:t>1.按《中华人民共和国民法典》相关法律法规执行；</w:t>
            </w:r>
          </w:p>
          <w:p>
            <w:pPr>
              <w:spacing w:line="240" w:lineRule="atLeast"/>
              <w:rPr>
                <w:rFonts w:ascii="宋体" w:hAnsi="宋体"/>
                <w:sz w:val="21"/>
                <w:szCs w:val="21"/>
              </w:rPr>
            </w:pPr>
            <w:r>
              <w:rPr>
                <w:rFonts w:hint="eastAsia" w:ascii="宋体" w:hAnsi="宋体"/>
                <w:sz w:val="21"/>
                <w:szCs w:val="21"/>
              </w:rPr>
              <w:t>2.其他约定：</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9628" w:type="dxa"/>
            <w:gridSpan w:val="8"/>
          </w:tcPr>
          <w:p>
            <w:pPr>
              <w:spacing w:line="240" w:lineRule="atLeast"/>
              <w:rPr>
                <w:rFonts w:ascii="宋体" w:hAnsi="宋体"/>
                <w:sz w:val="21"/>
                <w:szCs w:val="21"/>
              </w:rPr>
            </w:pPr>
            <w:r>
              <w:rPr>
                <w:rFonts w:hint="eastAsia" w:ascii="宋体" w:hAnsi="宋体"/>
                <w:sz w:val="21"/>
                <w:szCs w:val="21"/>
              </w:rPr>
              <w:t>四、其他约定事项：</w:t>
            </w:r>
          </w:p>
          <w:p>
            <w:pPr>
              <w:spacing w:line="240" w:lineRule="atLeast"/>
              <w:rPr>
                <w:rFonts w:ascii="宋体" w:hAnsi="宋体"/>
                <w:sz w:val="21"/>
                <w:szCs w:val="21"/>
              </w:rPr>
            </w:pPr>
            <w:r>
              <w:rPr>
                <w:rFonts w:hint="eastAsia" w:ascii="宋体" w:hAnsi="宋体"/>
                <w:sz w:val="21"/>
                <w:szCs w:val="21"/>
              </w:rPr>
              <w:t>1.比选文件及其补遗文件、竞选文件和承诺是本合同不可分割的部分。</w:t>
            </w:r>
          </w:p>
          <w:p>
            <w:pPr>
              <w:spacing w:line="240" w:lineRule="atLeast"/>
              <w:rPr>
                <w:rFonts w:ascii="宋体" w:hAnsi="宋体"/>
                <w:sz w:val="21"/>
                <w:szCs w:val="21"/>
              </w:rPr>
            </w:pPr>
            <w:r>
              <w:rPr>
                <w:rFonts w:hint="eastAsia" w:ascii="宋体" w:hAnsi="宋体"/>
                <w:sz w:val="21"/>
                <w:szCs w:val="21"/>
              </w:rPr>
              <w:t>2.本合同如发生争议由双方协商解决，协商不成向需方所在人民法院提请诉讼。</w:t>
            </w:r>
          </w:p>
          <w:p>
            <w:pPr>
              <w:spacing w:line="240" w:lineRule="atLeast"/>
              <w:rPr>
                <w:rFonts w:ascii="宋体" w:hAnsi="宋体"/>
                <w:sz w:val="21"/>
                <w:szCs w:val="21"/>
              </w:rPr>
            </w:pPr>
            <w:r>
              <w:rPr>
                <w:rFonts w:hint="eastAsia" w:ascii="宋体" w:hAnsi="宋体"/>
                <w:sz w:val="21"/>
                <w:szCs w:val="21"/>
              </w:rPr>
              <w:t>3.本合同一式__份， 需方__份，供方__份，具同等法律效力。</w:t>
            </w:r>
          </w:p>
          <w:p>
            <w:pPr>
              <w:spacing w:line="240" w:lineRule="atLeast"/>
              <w:rPr>
                <w:rFonts w:ascii="宋体" w:hAnsi="宋体"/>
                <w:sz w:val="21"/>
                <w:szCs w:val="21"/>
              </w:rPr>
            </w:pPr>
            <w:r>
              <w:rPr>
                <w:rFonts w:hint="eastAsia" w:ascii="宋体" w:hAnsi="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宋体" w:hAnsi="宋体"/>
                <w:sz w:val="21"/>
                <w:szCs w:val="21"/>
              </w:rPr>
            </w:pPr>
            <w:r>
              <w:rPr>
                <w:rFonts w:hint="eastAsia" w:ascii="宋体" w:hAnsi="宋体"/>
                <w:sz w:val="21"/>
                <w:szCs w:val="21"/>
              </w:rPr>
              <w:t>需方（甲方）：</w:t>
            </w:r>
          </w:p>
          <w:p>
            <w:pPr>
              <w:spacing w:line="240" w:lineRule="atLeast"/>
              <w:rPr>
                <w:rFonts w:ascii="宋体" w:hAnsi="宋体"/>
                <w:sz w:val="21"/>
                <w:szCs w:val="21"/>
              </w:rPr>
            </w:pPr>
            <w:r>
              <w:rPr>
                <w:rFonts w:hint="eastAsia" w:ascii="宋体" w:hAnsi="宋体"/>
                <w:sz w:val="21"/>
                <w:szCs w:val="21"/>
              </w:rPr>
              <w:t>地址：</w:t>
            </w:r>
          </w:p>
          <w:p>
            <w:pPr>
              <w:spacing w:line="240" w:lineRule="atLeast"/>
              <w:rPr>
                <w:rFonts w:ascii="宋体" w:hAnsi="宋体"/>
                <w:sz w:val="21"/>
                <w:szCs w:val="21"/>
              </w:rPr>
            </w:pPr>
            <w:r>
              <w:rPr>
                <w:rFonts w:hint="eastAsia" w:ascii="宋体" w:hAnsi="宋体"/>
                <w:sz w:val="21"/>
                <w:szCs w:val="21"/>
              </w:rPr>
              <w:t>联系电话：</w:t>
            </w:r>
          </w:p>
          <w:p>
            <w:pPr>
              <w:spacing w:line="240" w:lineRule="atLeast"/>
              <w:rPr>
                <w:rFonts w:ascii="宋体" w:hAnsi="宋体"/>
                <w:sz w:val="21"/>
                <w:szCs w:val="21"/>
              </w:rPr>
            </w:pPr>
            <w:r>
              <w:rPr>
                <w:rFonts w:hint="eastAsia" w:ascii="宋体" w:hAnsi="宋体"/>
                <w:sz w:val="21"/>
                <w:szCs w:val="21"/>
              </w:rPr>
              <w:t>授权代表：</w:t>
            </w:r>
          </w:p>
        </w:tc>
        <w:tc>
          <w:tcPr>
            <w:tcW w:w="4984" w:type="dxa"/>
            <w:gridSpan w:val="5"/>
          </w:tcPr>
          <w:p>
            <w:pPr>
              <w:spacing w:line="240" w:lineRule="atLeast"/>
              <w:rPr>
                <w:rFonts w:ascii="宋体" w:hAnsi="宋体"/>
                <w:sz w:val="21"/>
                <w:szCs w:val="21"/>
              </w:rPr>
            </w:pPr>
            <w:r>
              <w:rPr>
                <w:rFonts w:hint="eastAsia" w:ascii="宋体" w:hAnsi="宋体"/>
                <w:sz w:val="21"/>
                <w:szCs w:val="21"/>
              </w:rPr>
              <w:t>供方（乙方）：</w:t>
            </w:r>
          </w:p>
          <w:p>
            <w:pPr>
              <w:spacing w:line="240" w:lineRule="atLeast"/>
              <w:rPr>
                <w:rFonts w:ascii="宋体" w:hAnsi="宋体"/>
                <w:sz w:val="21"/>
                <w:szCs w:val="21"/>
              </w:rPr>
            </w:pPr>
            <w:r>
              <w:rPr>
                <w:rFonts w:hint="eastAsia" w:ascii="宋体" w:hAnsi="宋体"/>
                <w:sz w:val="21"/>
                <w:szCs w:val="21"/>
              </w:rPr>
              <w:t>地址：</w:t>
            </w:r>
          </w:p>
          <w:p>
            <w:pPr>
              <w:spacing w:line="240" w:lineRule="atLeast"/>
              <w:rPr>
                <w:rFonts w:ascii="宋体" w:hAnsi="宋体"/>
                <w:sz w:val="21"/>
                <w:szCs w:val="21"/>
              </w:rPr>
            </w:pPr>
            <w:r>
              <w:rPr>
                <w:rFonts w:hint="eastAsia" w:ascii="宋体" w:hAnsi="宋体"/>
                <w:sz w:val="21"/>
                <w:szCs w:val="21"/>
              </w:rPr>
              <w:t>电话：</w:t>
            </w:r>
          </w:p>
          <w:p>
            <w:pPr>
              <w:spacing w:line="240" w:lineRule="atLeast"/>
              <w:rPr>
                <w:rFonts w:ascii="宋体" w:hAnsi="宋体"/>
                <w:sz w:val="21"/>
                <w:szCs w:val="21"/>
              </w:rPr>
            </w:pPr>
            <w:r>
              <w:rPr>
                <w:rFonts w:hint="eastAsia" w:ascii="宋体" w:hAnsi="宋体"/>
                <w:sz w:val="21"/>
                <w:szCs w:val="21"/>
              </w:rPr>
              <w:t>传真：</w:t>
            </w:r>
          </w:p>
          <w:p>
            <w:pPr>
              <w:spacing w:line="240" w:lineRule="atLeast"/>
              <w:rPr>
                <w:rFonts w:ascii="宋体" w:hAnsi="宋体"/>
                <w:sz w:val="21"/>
                <w:szCs w:val="21"/>
              </w:rPr>
            </w:pPr>
            <w:r>
              <w:rPr>
                <w:rFonts w:hint="eastAsia" w:ascii="宋体" w:hAnsi="宋体"/>
                <w:sz w:val="21"/>
                <w:szCs w:val="21"/>
              </w:rPr>
              <w:t>开户银行：</w:t>
            </w:r>
          </w:p>
          <w:p>
            <w:pPr>
              <w:spacing w:line="240" w:lineRule="atLeast"/>
              <w:rPr>
                <w:rFonts w:ascii="宋体" w:hAnsi="宋体"/>
                <w:sz w:val="21"/>
                <w:szCs w:val="21"/>
              </w:rPr>
            </w:pPr>
            <w:r>
              <w:rPr>
                <w:rFonts w:hint="eastAsia" w:ascii="宋体" w:hAnsi="宋体"/>
                <w:sz w:val="21"/>
                <w:szCs w:val="21"/>
              </w:rPr>
              <w:t>账号：</w:t>
            </w:r>
          </w:p>
          <w:p>
            <w:pPr>
              <w:spacing w:line="240" w:lineRule="atLeast"/>
              <w:rPr>
                <w:rFonts w:ascii="宋体" w:hAnsi="宋体"/>
                <w:sz w:val="21"/>
                <w:szCs w:val="21"/>
              </w:rPr>
            </w:pPr>
            <w:r>
              <w:rPr>
                <w:rFonts w:hint="eastAsia" w:ascii="宋体" w:hAnsi="宋体"/>
                <w:sz w:val="21"/>
                <w:szCs w:val="21"/>
              </w:rPr>
              <w:t>授权代表：</w:t>
            </w:r>
          </w:p>
          <w:p>
            <w:pPr>
              <w:widowControl/>
              <w:spacing w:line="240" w:lineRule="atLeast"/>
              <w:jc w:val="left"/>
              <w:rPr>
                <w:rFonts w:ascii="宋体" w:hAnsi="宋体"/>
                <w:sz w:val="21"/>
                <w:szCs w:val="21"/>
              </w:rPr>
            </w:pPr>
            <w:r>
              <w:rPr>
                <w:rFonts w:hint="eastAsia"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宋体" w:hAnsi="宋体"/>
                <w:sz w:val="21"/>
                <w:szCs w:val="21"/>
              </w:rPr>
            </w:pPr>
            <w:r>
              <w:rPr>
                <w:rFonts w:hint="eastAsia" w:ascii="宋体" w:hAnsi="宋体"/>
                <w:sz w:val="21"/>
                <w:szCs w:val="21"/>
              </w:rPr>
              <w:t>备注：</w:t>
            </w:r>
          </w:p>
          <w:p>
            <w:pPr>
              <w:spacing w:line="240" w:lineRule="atLeast"/>
              <w:rPr>
                <w:rFonts w:ascii="宋体" w:hAnsi="宋体"/>
                <w:sz w:val="21"/>
                <w:szCs w:val="21"/>
              </w:rPr>
            </w:pPr>
          </w:p>
        </w:tc>
      </w:tr>
    </w:tbl>
    <w:p>
      <w:pPr>
        <w:jc w:val="center"/>
        <w:rPr>
          <w:sz w:val="24"/>
          <w:szCs w:val="24"/>
        </w:rPr>
      </w:pPr>
      <w:r>
        <w:rPr>
          <w:rFonts w:hint="eastAsia"/>
          <w:sz w:val="24"/>
          <w:szCs w:val="24"/>
        </w:rPr>
        <w:t>签约时间：           年   月   日      签约地点：</w:t>
      </w:r>
    </w:p>
    <w:p/>
    <w:p>
      <w:pPr>
        <w:pStyle w:val="4"/>
        <w:spacing w:line="360" w:lineRule="auto"/>
        <w:jc w:val="center"/>
        <w:rPr>
          <w:rFonts w:ascii="宋体" w:hAnsi="宋体" w:eastAsia="宋体"/>
          <w:color w:val="000000"/>
          <w:sz w:val="36"/>
          <w:szCs w:val="36"/>
        </w:rPr>
      </w:pPr>
      <w:bookmarkStart w:id="133" w:name="_Toc27711"/>
      <w:bookmarkStart w:id="134" w:name="_Toc21548"/>
      <w:r>
        <w:rPr>
          <w:rFonts w:hint="eastAsia" w:ascii="宋体" w:hAnsi="宋体" w:eastAsia="宋体"/>
          <w:color w:val="000000"/>
          <w:sz w:val="36"/>
          <w:szCs w:val="36"/>
        </w:rPr>
        <w:t>第</w:t>
      </w:r>
      <w:r>
        <w:rPr>
          <w:rFonts w:ascii="宋体" w:hAnsi="宋体" w:eastAsia="宋体"/>
          <w:color w:val="000000"/>
          <w:sz w:val="36"/>
          <w:szCs w:val="36"/>
        </w:rPr>
        <w:t>七</w:t>
      </w:r>
      <w:r>
        <w:rPr>
          <w:rFonts w:hint="eastAsia" w:ascii="宋体" w:hAnsi="宋体" w:eastAsia="宋体"/>
          <w:color w:val="000000"/>
          <w:sz w:val="36"/>
          <w:szCs w:val="36"/>
        </w:rPr>
        <w:t>篇 竞选文件编制要求</w:t>
      </w:r>
      <w:bookmarkEnd w:id="93"/>
      <w:bookmarkEnd w:id="133"/>
      <w:bookmarkEnd w:id="134"/>
    </w:p>
    <w:p>
      <w:pPr>
        <w:spacing w:line="360" w:lineRule="auto"/>
        <w:ind w:firstLine="560" w:firstLineChars="200"/>
        <w:rPr>
          <w:rFonts w:ascii="宋体" w:hAnsi="宋体"/>
          <w:color w:val="000000"/>
          <w:szCs w:val="28"/>
        </w:rPr>
      </w:pPr>
      <w:r>
        <w:rPr>
          <w:rFonts w:hint="eastAsia" w:ascii="宋体" w:hAnsi="宋体"/>
          <w:color w:val="000000"/>
          <w:szCs w:val="28"/>
        </w:rPr>
        <w:t>一</w:t>
      </w:r>
      <w:r>
        <w:rPr>
          <w:rFonts w:ascii="宋体" w:hAnsi="宋体"/>
          <w:color w:val="000000"/>
          <w:szCs w:val="28"/>
        </w:rPr>
        <w:t>、</w:t>
      </w:r>
      <w:r>
        <w:rPr>
          <w:rFonts w:hint="eastAsia" w:ascii="宋体" w:hAnsi="宋体"/>
          <w:color w:val="000000"/>
          <w:szCs w:val="28"/>
        </w:rPr>
        <w:t>竞选文件封</w:t>
      </w:r>
      <w:r>
        <w:rPr>
          <w:rFonts w:ascii="宋体" w:hAnsi="宋体"/>
          <w:color w:val="000000"/>
          <w:szCs w:val="28"/>
        </w:rPr>
        <w:t>面</w:t>
      </w:r>
    </w:p>
    <w:p>
      <w:pPr>
        <w:spacing w:line="360" w:lineRule="auto"/>
        <w:ind w:firstLine="560" w:firstLineChars="200"/>
        <w:rPr>
          <w:rFonts w:ascii="宋体" w:hAnsi="宋体"/>
          <w:color w:val="000000"/>
          <w:szCs w:val="28"/>
        </w:rPr>
      </w:pPr>
      <w:r>
        <w:rPr>
          <w:rFonts w:hint="eastAsia" w:ascii="宋体" w:hAnsi="宋体"/>
          <w:color w:val="000000"/>
          <w:szCs w:val="28"/>
        </w:rPr>
        <w:t>二、经济部分</w:t>
      </w:r>
    </w:p>
    <w:p>
      <w:pPr>
        <w:spacing w:line="360" w:lineRule="auto"/>
        <w:ind w:firstLine="560" w:firstLineChars="200"/>
        <w:rPr>
          <w:rFonts w:ascii="宋体" w:hAnsi="宋体"/>
          <w:color w:val="000000"/>
          <w:szCs w:val="28"/>
        </w:rPr>
      </w:pPr>
      <w:r>
        <w:rPr>
          <w:rFonts w:hint="eastAsia" w:ascii="宋体" w:hAnsi="宋体"/>
          <w:color w:val="000000"/>
          <w:szCs w:val="28"/>
        </w:rPr>
        <w:t>（一）竞争性比选函（格式）</w:t>
      </w:r>
    </w:p>
    <w:p>
      <w:pPr>
        <w:spacing w:line="360" w:lineRule="auto"/>
        <w:ind w:firstLine="560" w:firstLineChars="200"/>
        <w:rPr>
          <w:rFonts w:ascii="宋体" w:hAnsi="宋体"/>
          <w:color w:val="000000"/>
          <w:szCs w:val="28"/>
        </w:rPr>
      </w:pPr>
      <w:r>
        <w:rPr>
          <w:rFonts w:hint="eastAsia" w:ascii="宋体" w:hAnsi="宋体"/>
          <w:color w:val="000000"/>
          <w:szCs w:val="28"/>
        </w:rPr>
        <w:t>三、技术部分</w:t>
      </w:r>
    </w:p>
    <w:p>
      <w:pPr>
        <w:spacing w:line="360" w:lineRule="auto"/>
        <w:ind w:firstLine="560" w:firstLineChars="200"/>
        <w:rPr>
          <w:rFonts w:ascii="宋体" w:hAnsi="宋体"/>
          <w:color w:val="000000"/>
          <w:szCs w:val="28"/>
        </w:rPr>
      </w:pPr>
      <w:r>
        <w:rPr>
          <w:rFonts w:hint="eastAsia" w:ascii="宋体" w:hAnsi="宋体"/>
          <w:color w:val="000000"/>
          <w:szCs w:val="28"/>
        </w:rPr>
        <w:t>（一）服务响应偏离表</w:t>
      </w:r>
    </w:p>
    <w:p>
      <w:pPr>
        <w:spacing w:line="360" w:lineRule="auto"/>
        <w:ind w:firstLine="560" w:firstLineChars="200"/>
        <w:rPr>
          <w:rFonts w:ascii="宋体" w:hAnsi="宋体"/>
          <w:color w:val="000000"/>
          <w:szCs w:val="28"/>
        </w:rPr>
      </w:pPr>
      <w:r>
        <w:rPr>
          <w:rFonts w:ascii="宋体" w:hAnsi="宋体"/>
          <w:color w:val="000000"/>
          <w:szCs w:val="28"/>
        </w:rPr>
        <w:t>（</w:t>
      </w:r>
      <w:r>
        <w:rPr>
          <w:rFonts w:hint="eastAsia" w:ascii="宋体" w:hAnsi="宋体"/>
          <w:color w:val="000000"/>
          <w:szCs w:val="28"/>
        </w:rPr>
        <w:t>二</w:t>
      </w:r>
      <w:r>
        <w:rPr>
          <w:rFonts w:ascii="宋体" w:hAnsi="宋体"/>
          <w:color w:val="000000"/>
          <w:szCs w:val="28"/>
        </w:rPr>
        <w:t>）</w:t>
      </w:r>
      <w:r>
        <w:rPr>
          <w:rFonts w:hint="eastAsia" w:ascii="宋体" w:hAnsi="宋体"/>
          <w:color w:val="000000"/>
          <w:szCs w:val="28"/>
        </w:rPr>
        <w:t>业绩、服务团队、设计思路阐述等评审内容（格式自定）</w:t>
      </w:r>
    </w:p>
    <w:p>
      <w:pPr>
        <w:spacing w:line="360" w:lineRule="auto"/>
        <w:ind w:firstLine="560" w:firstLineChars="200"/>
        <w:rPr>
          <w:rFonts w:ascii="宋体" w:hAnsi="宋体"/>
          <w:color w:val="000000"/>
          <w:szCs w:val="28"/>
        </w:rPr>
      </w:pPr>
      <w:r>
        <w:rPr>
          <w:rFonts w:hint="eastAsia" w:ascii="宋体" w:hAnsi="宋体"/>
          <w:color w:val="000000"/>
          <w:szCs w:val="28"/>
        </w:rPr>
        <w:t>四、商务部分</w:t>
      </w:r>
    </w:p>
    <w:p>
      <w:pPr>
        <w:spacing w:line="360" w:lineRule="auto"/>
        <w:ind w:firstLine="560" w:firstLineChars="200"/>
        <w:rPr>
          <w:rFonts w:ascii="宋体" w:hAnsi="宋体"/>
          <w:color w:val="000000"/>
          <w:szCs w:val="28"/>
        </w:rPr>
      </w:pPr>
      <w:r>
        <w:rPr>
          <w:rFonts w:hint="eastAsia" w:ascii="宋体" w:hAnsi="宋体"/>
          <w:color w:val="000000"/>
          <w:szCs w:val="28"/>
        </w:rPr>
        <w:t>（一）商务响应偏离表</w:t>
      </w:r>
    </w:p>
    <w:p>
      <w:pPr>
        <w:spacing w:line="360" w:lineRule="auto"/>
        <w:ind w:firstLine="560" w:firstLineChars="200"/>
        <w:rPr>
          <w:rFonts w:ascii="宋体" w:hAnsi="宋体"/>
          <w:color w:val="000000"/>
          <w:szCs w:val="28"/>
        </w:rPr>
      </w:pPr>
      <w:r>
        <w:rPr>
          <w:rFonts w:hint="eastAsia" w:ascii="宋体" w:hAnsi="宋体"/>
          <w:color w:val="000000"/>
          <w:szCs w:val="28"/>
        </w:rPr>
        <w:t>（二）其它优惠承诺（格式自定）</w:t>
      </w:r>
    </w:p>
    <w:p>
      <w:pPr>
        <w:spacing w:line="360" w:lineRule="auto"/>
        <w:ind w:firstLine="560" w:firstLineChars="200"/>
        <w:rPr>
          <w:rFonts w:ascii="宋体" w:hAnsi="宋体"/>
          <w:color w:val="000000"/>
          <w:szCs w:val="28"/>
        </w:rPr>
      </w:pPr>
      <w:r>
        <w:rPr>
          <w:rFonts w:hint="eastAsia" w:ascii="宋体" w:hAnsi="宋体"/>
          <w:color w:val="000000"/>
          <w:szCs w:val="28"/>
        </w:rPr>
        <w:t>五、资格条件及其他</w:t>
      </w:r>
    </w:p>
    <w:p>
      <w:pPr>
        <w:spacing w:line="360" w:lineRule="auto"/>
        <w:ind w:firstLine="560" w:firstLineChars="200"/>
        <w:rPr>
          <w:rFonts w:ascii="宋体" w:hAnsi="宋体"/>
          <w:color w:val="000000"/>
          <w:szCs w:val="28"/>
        </w:rPr>
      </w:pPr>
      <w:r>
        <w:rPr>
          <w:rFonts w:hint="eastAsia" w:ascii="宋体" w:hAnsi="宋体"/>
          <w:color w:val="000000"/>
          <w:szCs w:val="28"/>
        </w:rPr>
        <w:t>（一）资格条件</w:t>
      </w:r>
    </w:p>
    <w:p>
      <w:pPr>
        <w:spacing w:line="360" w:lineRule="auto"/>
        <w:ind w:firstLine="560" w:firstLineChars="200"/>
        <w:rPr>
          <w:rFonts w:ascii="宋体" w:hAnsi="宋体"/>
          <w:color w:val="000000"/>
          <w:szCs w:val="28"/>
        </w:rPr>
      </w:pPr>
      <w:r>
        <w:rPr>
          <w:rFonts w:hint="eastAsia" w:ascii="宋体" w:hAnsi="宋体"/>
          <w:color w:val="000000"/>
          <w:szCs w:val="28"/>
        </w:rPr>
        <w:t>（二）其他应提供的资料</w:t>
      </w:r>
    </w:p>
    <w:p>
      <w:pPr>
        <w:spacing w:line="360" w:lineRule="auto"/>
        <w:ind w:firstLine="420" w:firstLineChars="200"/>
        <w:rPr>
          <w:rFonts w:ascii="宋体" w:hAnsi="宋体"/>
          <w:color w:val="000000"/>
          <w:sz w:val="21"/>
          <w:szCs w:val="21"/>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pStyle w:val="2"/>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pStyle w:val="5"/>
        <w:spacing w:before="0" w:after="0" w:line="480" w:lineRule="exact"/>
        <w:rPr>
          <w:rFonts w:ascii="宋体" w:hAnsi="宋体"/>
          <w:b w:val="0"/>
          <w:color w:val="000000"/>
          <w:sz w:val="24"/>
          <w:szCs w:val="24"/>
        </w:rPr>
      </w:pPr>
      <w:bookmarkStart w:id="135" w:name="_Toc375666796"/>
      <w:bookmarkStart w:id="136" w:name="_Toc328052593"/>
      <w:bookmarkStart w:id="137" w:name="_Toc433792168"/>
      <w:bookmarkStart w:id="138" w:name="_Toc333412485"/>
      <w:bookmarkStart w:id="139" w:name="_Toc294083526"/>
      <w:bookmarkStart w:id="140" w:name="_Toc375840799"/>
      <w:bookmarkStart w:id="141" w:name="_Toc332630166"/>
      <w:bookmarkStart w:id="142" w:name="_Toc350093071"/>
      <w:bookmarkStart w:id="143" w:name="_Toc375841207"/>
      <w:bookmarkStart w:id="144" w:name="_Toc350435647"/>
      <w:bookmarkStart w:id="145" w:name="_Toc377402559"/>
      <w:bookmarkStart w:id="146" w:name="_Toc540"/>
      <w:bookmarkStart w:id="147" w:name="_Toc28867"/>
      <w:bookmarkStart w:id="148" w:name="_Toc342913419"/>
      <w:bookmarkStart w:id="149" w:name="_Toc313008356"/>
      <w:bookmarkStart w:id="150" w:name="_Toc313888360"/>
      <w:bookmarkStart w:id="151" w:name="_Toc283382454"/>
      <w:bookmarkStart w:id="152" w:name="_Toc12789073"/>
      <w:r>
        <w:rPr>
          <w:rFonts w:hint="eastAsia" w:ascii="宋体" w:hAnsi="宋体"/>
          <w:b w:val="0"/>
          <w:color w:val="000000"/>
          <w:sz w:val="24"/>
          <w:szCs w:val="24"/>
        </w:rPr>
        <w:t>一</w:t>
      </w:r>
      <w:r>
        <w:rPr>
          <w:rFonts w:ascii="宋体" w:hAnsi="宋体"/>
          <w:b w:val="0"/>
          <w:color w:val="000000"/>
          <w:sz w:val="24"/>
          <w:szCs w:val="24"/>
        </w:rPr>
        <w:t>、</w:t>
      </w:r>
      <w:r>
        <w:rPr>
          <w:rFonts w:hint="eastAsia" w:ascii="宋体" w:hAnsi="宋体"/>
          <w:b w:val="0"/>
          <w:color w:val="000000"/>
          <w:sz w:val="24"/>
          <w:szCs w:val="24"/>
        </w:rPr>
        <w:t>竞选文件封面</w:t>
      </w:r>
      <w:bookmarkEnd w:id="135"/>
      <w:bookmarkEnd w:id="136"/>
      <w:bookmarkEnd w:id="137"/>
      <w:bookmarkEnd w:id="138"/>
      <w:bookmarkEnd w:id="139"/>
      <w:bookmarkEnd w:id="140"/>
      <w:bookmarkEnd w:id="141"/>
      <w:bookmarkEnd w:id="142"/>
      <w:bookmarkEnd w:id="143"/>
      <w:bookmarkEnd w:id="144"/>
      <w:bookmarkEnd w:id="145"/>
      <w:bookmarkEnd w:id="146"/>
      <w:bookmarkEnd w:id="147"/>
    </w:p>
    <w:p>
      <w:pPr>
        <w:rPr>
          <w:color w:val="000000"/>
        </w:rPr>
      </w:pPr>
    </w:p>
    <w:p>
      <w:pPr>
        <w:rPr>
          <w:color w:val="000000"/>
        </w:rPr>
      </w:pPr>
    </w:p>
    <w:p>
      <w:pPr>
        <w:rPr>
          <w:color w:val="000000"/>
        </w:rPr>
      </w:pPr>
    </w:p>
    <w:p>
      <w:pPr>
        <w:rPr>
          <w:color w:val="000000"/>
        </w:rPr>
      </w:pPr>
    </w:p>
    <w:p>
      <w:pPr>
        <w:rPr>
          <w:color w:val="000000"/>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r>
        <w:rPr>
          <w:rFonts w:hint="eastAsia" w:ascii="宋体" w:hAnsi="宋体" w:cs="MingLiU"/>
          <w:b/>
          <w:color w:val="000000"/>
          <w:kern w:val="0"/>
          <w:sz w:val="84"/>
          <w:szCs w:val="84"/>
        </w:rPr>
        <w:t>竞选文件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p>
    <w:p>
      <w:pPr>
        <w:autoSpaceDE w:val="0"/>
        <w:autoSpaceDN w:val="0"/>
        <w:adjustRightInd w:val="0"/>
        <w:snapToGrid w:val="0"/>
        <w:spacing w:line="360" w:lineRule="auto"/>
        <w:ind w:firstLine="987" w:firstLineChars="355"/>
        <w:jc w:val="left"/>
        <w:rPr>
          <w:rFonts w:ascii="宋体" w:hAnsi="宋体" w:cs="MingLiU"/>
          <w:color w:val="000000"/>
          <w:kern w:val="0"/>
          <w:sz w:val="16"/>
          <w:szCs w:val="16"/>
        </w:rPr>
      </w:pPr>
      <w:r>
        <w:rPr>
          <w:rFonts w:hint="eastAsia" w:ascii="宋体" w:hAnsi="宋体" w:cs="MingLiU"/>
          <w:b/>
          <w:color w:val="000000"/>
          <w:w w:val="99"/>
          <w:kern w:val="0"/>
          <w:szCs w:val="28"/>
        </w:rPr>
        <w:t>项目编号：</w:t>
      </w:r>
    </w:p>
    <w:p>
      <w:pPr>
        <w:tabs>
          <w:tab w:val="left" w:pos="6904"/>
        </w:tabs>
        <w:autoSpaceDE w:val="0"/>
        <w:autoSpaceDN w:val="0"/>
        <w:adjustRightInd w:val="0"/>
        <w:snapToGrid w:val="0"/>
        <w:spacing w:line="360" w:lineRule="auto"/>
        <w:ind w:firstLine="987" w:firstLineChars="355"/>
        <w:jc w:val="left"/>
        <w:rPr>
          <w:rFonts w:ascii="宋体" w:hAnsi="宋体" w:cs="MingLiU"/>
          <w:b/>
          <w:color w:val="000000"/>
          <w:w w:val="99"/>
          <w:kern w:val="0"/>
          <w:szCs w:val="28"/>
        </w:rPr>
      </w:pPr>
      <w:r>
        <w:rPr>
          <w:rFonts w:hint="eastAsia" w:ascii="宋体" w:hAnsi="宋体" w:cs="MingLiU"/>
          <w:b/>
          <w:color w:val="000000"/>
          <w:w w:val="99"/>
          <w:kern w:val="0"/>
          <w:szCs w:val="28"/>
        </w:rPr>
        <w:t>项目名称：</w:t>
      </w:r>
    </w:p>
    <w:p>
      <w:pPr>
        <w:tabs>
          <w:tab w:val="left" w:pos="6904"/>
        </w:tabs>
        <w:autoSpaceDE w:val="0"/>
        <w:autoSpaceDN w:val="0"/>
        <w:adjustRightInd w:val="0"/>
        <w:snapToGrid w:val="0"/>
        <w:spacing w:line="360" w:lineRule="auto"/>
        <w:ind w:firstLine="954" w:firstLineChars="343"/>
        <w:jc w:val="left"/>
        <w:rPr>
          <w:rFonts w:ascii="宋体" w:hAnsi="宋体" w:cs="MingLiU"/>
          <w:b/>
          <w:color w:val="000000"/>
          <w:w w:val="99"/>
          <w:kern w:val="0"/>
          <w:szCs w:val="28"/>
          <w:u w:val="single"/>
        </w:rPr>
      </w:pPr>
    </w:p>
    <w:p>
      <w:pPr>
        <w:tabs>
          <w:tab w:val="left" w:pos="6904"/>
        </w:tabs>
        <w:autoSpaceDE w:val="0"/>
        <w:autoSpaceDN w:val="0"/>
        <w:adjustRightInd w:val="0"/>
        <w:snapToGrid w:val="0"/>
        <w:spacing w:line="360" w:lineRule="auto"/>
        <w:ind w:firstLine="954" w:firstLineChars="343"/>
        <w:jc w:val="left"/>
        <w:rPr>
          <w:rFonts w:ascii="宋体" w:hAnsi="宋体" w:cs="MingLiU"/>
          <w:b/>
          <w:color w:val="000000"/>
          <w:w w:val="99"/>
          <w:kern w:val="0"/>
          <w:szCs w:val="28"/>
          <w:u w:val="single"/>
        </w:rPr>
      </w:pPr>
    </w:p>
    <w:p>
      <w:pPr>
        <w:autoSpaceDE w:val="0"/>
        <w:autoSpaceDN w:val="0"/>
        <w:adjustRightInd w:val="0"/>
        <w:snapToGrid w:val="0"/>
        <w:spacing w:line="360" w:lineRule="auto"/>
        <w:jc w:val="left"/>
        <w:rPr>
          <w:rFonts w:ascii="宋体" w:hAnsi="宋体" w:cs="MingLiU"/>
          <w:b/>
          <w:color w:val="000000"/>
          <w:kern w:val="0"/>
          <w:sz w:val="20"/>
          <w:u w:val="single"/>
        </w:rPr>
      </w:pPr>
    </w:p>
    <w:p>
      <w:pPr>
        <w:autoSpaceDE w:val="0"/>
        <w:autoSpaceDN w:val="0"/>
        <w:adjustRightInd w:val="0"/>
        <w:snapToGrid w:val="0"/>
        <w:spacing w:line="360" w:lineRule="auto"/>
        <w:jc w:val="left"/>
        <w:rPr>
          <w:rFonts w:ascii="宋体" w:hAnsi="宋体" w:cs="MingLiU"/>
          <w:b/>
          <w:color w:val="000000"/>
          <w:kern w:val="0"/>
          <w:sz w:val="20"/>
          <w:u w:val="single"/>
        </w:rPr>
      </w:pPr>
    </w:p>
    <w:p>
      <w:pPr>
        <w:autoSpaceDE w:val="0"/>
        <w:autoSpaceDN w:val="0"/>
        <w:adjustRightInd w:val="0"/>
        <w:snapToGrid w:val="0"/>
        <w:spacing w:line="360" w:lineRule="auto"/>
        <w:jc w:val="left"/>
        <w:rPr>
          <w:rFonts w:ascii="宋体" w:hAnsi="宋体" w:cs="MingLiU"/>
          <w:b/>
          <w:color w:val="000000"/>
          <w:kern w:val="0"/>
          <w:sz w:val="20"/>
        </w:rPr>
      </w:pPr>
    </w:p>
    <w:p>
      <w:pPr>
        <w:autoSpaceDE w:val="0"/>
        <w:autoSpaceDN w:val="0"/>
        <w:adjustRightInd w:val="0"/>
        <w:snapToGrid w:val="0"/>
        <w:spacing w:line="360" w:lineRule="auto"/>
        <w:jc w:val="left"/>
        <w:rPr>
          <w:rFonts w:ascii="宋体" w:hAnsi="宋体" w:cs="MingLiU"/>
          <w:b/>
          <w:color w:val="000000"/>
          <w:kern w:val="0"/>
          <w:sz w:val="20"/>
        </w:rPr>
      </w:pPr>
    </w:p>
    <w:p>
      <w:pPr>
        <w:tabs>
          <w:tab w:val="left" w:pos="6080"/>
          <w:tab w:val="left" w:pos="6640"/>
        </w:tabs>
        <w:autoSpaceDE w:val="0"/>
        <w:autoSpaceDN w:val="0"/>
        <w:adjustRightInd w:val="0"/>
        <w:snapToGrid w:val="0"/>
        <w:spacing w:line="360" w:lineRule="auto"/>
        <w:ind w:firstLine="1251" w:firstLineChars="450"/>
        <w:rPr>
          <w:rFonts w:ascii="宋体" w:hAnsi="宋体"/>
          <w:b/>
          <w:color w:val="000000"/>
          <w:w w:val="99"/>
          <w:kern w:val="0"/>
          <w:szCs w:val="28"/>
        </w:rPr>
      </w:pPr>
      <w:r>
        <w:rPr>
          <w:rFonts w:hint="eastAsia" w:ascii="宋体" w:hAnsi="宋体" w:cs="MingLiU"/>
          <w:b/>
          <w:color w:val="000000"/>
          <w:w w:val="99"/>
          <w:kern w:val="0"/>
          <w:szCs w:val="28"/>
        </w:rPr>
        <w:t>竞选人</w:t>
      </w:r>
      <w:r>
        <w:rPr>
          <w:rFonts w:hint="eastAsia" w:ascii="宋体" w:hAnsi="宋体" w:cs="MingLiU"/>
          <w:b/>
          <w:color w:val="000000"/>
          <w:spacing w:val="1"/>
          <w:w w:val="99"/>
          <w:kern w:val="0"/>
          <w:szCs w:val="28"/>
        </w:rPr>
        <w:t>：</w:t>
      </w:r>
      <w:r>
        <w:rPr>
          <w:rFonts w:hint="eastAsia" w:ascii="宋体" w:hAnsi="宋体" w:cs="MingLiU"/>
          <w:b/>
          <w:color w:val="000000"/>
          <w:w w:val="198"/>
          <w:kern w:val="0"/>
          <w:szCs w:val="28"/>
          <w:u w:val="single"/>
        </w:rPr>
        <w:t xml:space="preserve"> 　　　　 　　</w:t>
      </w:r>
      <w:r>
        <w:rPr>
          <w:rFonts w:hint="eastAsia" w:ascii="宋体" w:hAnsi="宋体" w:cs="MingLiU"/>
          <w:b/>
          <w:color w:val="000000"/>
          <w:w w:val="99"/>
          <w:kern w:val="0"/>
          <w:szCs w:val="28"/>
        </w:rPr>
        <w:t>（公章）</w:t>
      </w:r>
    </w:p>
    <w:p>
      <w:pPr>
        <w:tabs>
          <w:tab w:val="left" w:pos="6080"/>
          <w:tab w:val="left" w:pos="6640"/>
        </w:tabs>
        <w:autoSpaceDE w:val="0"/>
        <w:autoSpaceDN w:val="0"/>
        <w:adjustRightInd w:val="0"/>
        <w:snapToGrid w:val="0"/>
        <w:spacing w:line="360" w:lineRule="auto"/>
        <w:ind w:firstLine="1251" w:firstLineChars="450"/>
        <w:rPr>
          <w:rFonts w:ascii="宋体" w:hAnsi="宋体" w:cs="MingLiU"/>
          <w:b/>
          <w:color w:val="000000"/>
          <w:w w:val="99"/>
          <w:kern w:val="0"/>
          <w:szCs w:val="28"/>
        </w:rPr>
      </w:pPr>
      <w:r>
        <w:rPr>
          <w:rFonts w:hint="eastAsia" w:ascii="宋体" w:hAnsi="宋体" w:cs="MingLiU"/>
          <w:b/>
          <w:color w:val="000000"/>
          <w:w w:val="99"/>
          <w:kern w:val="0"/>
          <w:szCs w:val="28"/>
        </w:rPr>
        <w:t>法定代表人或其授权代表：</w:t>
      </w:r>
      <w:r>
        <w:rPr>
          <w:rFonts w:hint="eastAsia" w:ascii="宋体" w:hAnsi="宋体" w:cs="MingLiU"/>
          <w:b/>
          <w:color w:val="000000"/>
          <w:w w:val="198"/>
          <w:kern w:val="0"/>
          <w:szCs w:val="28"/>
          <w:u w:val="single"/>
        </w:rPr>
        <w:t xml:space="preserve"> 　　 　</w:t>
      </w:r>
      <w:r>
        <w:rPr>
          <w:rFonts w:hint="eastAsia" w:ascii="宋体" w:hAnsi="宋体" w:cs="MingLiU"/>
          <w:b/>
          <w:color w:val="000000"/>
          <w:w w:val="99"/>
          <w:kern w:val="0"/>
          <w:szCs w:val="28"/>
        </w:rPr>
        <w:t>（签字）</w:t>
      </w:r>
    </w:p>
    <w:p>
      <w:pPr>
        <w:tabs>
          <w:tab w:val="left" w:pos="6080"/>
          <w:tab w:val="left" w:pos="6640"/>
        </w:tabs>
        <w:autoSpaceDE w:val="0"/>
        <w:autoSpaceDN w:val="0"/>
        <w:adjustRightInd w:val="0"/>
        <w:snapToGrid w:val="0"/>
        <w:spacing w:line="360" w:lineRule="auto"/>
        <w:ind w:firstLine="1251" w:firstLineChars="450"/>
        <w:rPr>
          <w:rFonts w:ascii="宋体" w:hAnsi="宋体" w:cs="MingLiU"/>
          <w:b/>
          <w:color w:val="000000"/>
          <w:w w:val="99"/>
          <w:kern w:val="0"/>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Cs w:val="28"/>
        </w:rPr>
      </w:pPr>
      <w:r>
        <w:rPr>
          <w:rFonts w:hint="eastAsia" w:ascii="宋体" w:hAnsi="宋体" w:cs="MingLiU"/>
          <w:b/>
          <w:color w:val="000000"/>
          <w:w w:val="99"/>
          <w:kern w:val="0"/>
          <w:szCs w:val="28"/>
          <w:u w:val="single"/>
        </w:rPr>
        <w:t xml:space="preserve">     　</w:t>
      </w:r>
      <w:r>
        <w:rPr>
          <w:rFonts w:hint="eastAsia" w:ascii="宋体" w:hAnsi="宋体" w:cs="MingLiU"/>
          <w:b/>
          <w:color w:val="000000"/>
          <w:w w:val="99"/>
          <w:kern w:val="0"/>
          <w:szCs w:val="28"/>
        </w:rPr>
        <w:t>年</w:t>
      </w:r>
      <w:r>
        <w:rPr>
          <w:rFonts w:hint="eastAsia" w:ascii="宋体" w:hAnsi="宋体" w:cs="MingLiU"/>
          <w:b/>
          <w:color w:val="000000"/>
          <w:w w:val="99"/>
          <w:kern w:val="0"/>
          <w:szCs w:val="28"/>
          <w:u w:val="single"/>
        </w:rPr>
        <w:t>　</w:t>
      </w:r>
      <w:r>
        <w:rPr>
          <w:rFonts w:hint="eastAsia" w:ascii="宋体" w:hAnsi="宋体" w:cs="MingLiU"/>
          <w:b/>
          <w:color w:val="000000"/>
          <w:w w:val="99"/>
          <w:kern w:val="0"/>
          <w:szCs w:val="28"/>
        </w:rPr>
        <w:t>月</w:t>
      </w:r>
      <w:r>
        <w:rPr>
          <w:rFonts w:hint="eastAsia" w:ascii="宋体" w:hAnsi="宋体" w:cs="MingLiU"/>
          <w:b/>
          <w:color w:val="000000"/>
          <w:w w:val="99"/>
          <w:kern w:val="0"/>
          <w:szCs w:val="28"/>
          <w:u w:val="single"/>
        </w:rPr>
        <w:t>　</w:t>
      </w:r>
      <w:r>
        <w:rPr>
          <w:rFonts w:hint="eastAsia" w:ascii="宋体" w:hAnsi="宋体" w:cs="MingLiU"/>
          <w:b/>
          <w:color w:val="000000"/>
          <w:w w:val="99"/>
          <w:kern w:val="0"/>
          <w:szCs w:val="28"/>
        </w:rPr>
        <w:t>日</w:t>
      </w:r>
    </w:p>
    <w:p>
      <w:pPr>
        <w:pStyle w:val="5"/>
        <w:spacing w:before="0" w:after="0" w:line="480" w:lineRule="exact"/>
        <w:rPr>
          <w:rFonts w:ascii="宋体" w:hAnsi="宋体"/>
          <w:b w:val="0"/>
          <w:color w:val="000000"/>
          <w:sz w:val="24"/>
          <w:szCs w:val="24"/>
        </w:rPr>
      </w:pPr>
      <w:bookmarkStart w:id="153" w:name="_Toc433792169"/>
    </w:p>
    <w:p>
      <w:pPr>
        <w:pStyle w:val="5"/>
        <w:spacing w:before="0" w:after="0" w:line="480" w:lineRule="exact"/>
        <w:rPr>
          <w:rFonts w:ascii="宋体" w:hAnsi="宋体"/>
          <w:b w:val="0"/>
          <w:color w:val="000000"/>
          <w:sz w:val="24"/>
          <w:szCs w:val="24"/>
        </w:rPr>
      </w:pPr>
    </w:p>
    <w:p>
      <w:pPr>
        <w:pStyle w:val="5"/>
        <w:spacing w:before="0" w:after="0" w:line="480" w:lineRule="exact"/>
        <w:rPr>
          <w:rFonts w:ascii="宋体" w:hAnsi="宋体"/>
          <w:b w:val="0"/>
          <w:color w:val="000000"/>
          <w:sz w:val="24"/>
          <w:szCs w:val="24"/>
        </w:rPr>
      </w:pPr>
      <w:bookmarkStart w:id="154" w:name="_Toc27991"/>
      <w:bookmarkStart w:id="155" w:name="_Toc14548"/>
      <w:r>
        <w:rPr>
          <w:rFonts w:hint="eastAsia" w:ascii="宋体" w:hAnsi="宋体"/>
          <w:b w:val="0"/>
          <w:color w:val="000000"/>
          <w:sz w:val="24"/>
          <w:szCs w:val="24"/>
        </w:rPr>
        <w:t>二、经济部分</w:t>
      </w:r>
      <w:bookmarkEnd w:id="148"/>
      <w:bookmarkEnd w:id="149"/>
      <w:bookmarkEnd w:id="150"/>
      <w:bookmarkEnd w:id="153"/>
      <w:bookmarkEnd w:id="154"/>
      <w:bookmarkEnd w:id="155"/>
    </w:p>
    <w:bookmarkEnd w:id="151"/>
    <w:bookmarkEnd w:id="152"/>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（一）竞争性比选函</w:t>
      </w:r>
    </w:p>
    <w:p>
      <w:pPr>
        <w:tabs>
          <w:tab w:val="left" w:pos="6300"/>
        </w:tabs>
        <w:snapToGrid w:val="0"/>
        <w:spacing w:line="480" w:lineRule="exact"/>
        <w:jc w:val="center"/>
        <w:outlineLvl w:val="0"/>
        <w:rPr>
          <w:rFonts w:ascii="宋体" w:hAnsi="宋体"/>
          <w:color w:val="000000"/>
          <w:sz w:val="24"/>
          <w:szCs w:val="24"/>
        </w:rPr>
      </w:pPr>
      <w:bookmarkStart w:id="156" w:name="_Toc11756"/>
      <w:bookmarkStart w:id="157" w:name="_Toc22456"/>
      <w:r>
        <w:rPr>
          <w:rFonts w:hint="eastAsia" w:ascii="宋体" w:hAnsi="宋体"/>
          <w:color w:val="000000"/>
          <w:sz w:val="24"/>
          <w:szCs w:val="24"/>
        </w:rPr>
        <w:t>竞争性比选函</w:t>
      </w:r>
      <w:bookmarkEnd w:id="156"/>
      <w:bookmarkEnd w:id="157"/>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u w:val="single"/>
        </w:rPr>
        <w:t>（比选人、比选代理机构名称）</w:t>
      </w:r>
      <w:r>
        <w:rPr>
          <w:rFonts w:hint="eastAsia" w:ascii="宋体" w:hAnsi="宋体"/>
          <w:color w:val="000000"/>
          <w:sz w:val="24"/>
          <w:szCs w:val="24"/>
        </w:rPr>
        <w:t>：</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我方收到____________________________（比选项目名称）的竞争性比选文件，经详细研究，决定参加该比选项目的比选。</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1．愿意按照竞争性比选文件中的一切要求，提供本项目服务。</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2．我方现提交的竞选文件为：竞选文件正本</w:t>
      </w:r>
      <w:r>
        <w:rPr>
          <w:rFonts w:hint="eastAsia" w:ascii="宋体" w:hAnsi="宋体"/>
          <w:color w:val="000000"/>
          <w:sz w:val="24"/>
          <w:szCs w:val="24"/>
          <w:u w:val="single"/>
        </w:rPr>
        <w:t xml:space="preserve"> 1 </w:t>
      </w:r>
      <w:r>
        <w:rPr>
          <w:rFonts w:hint="eastAsia" w:ascii="宋体" w:hAnsi="宋体"/>
          <w:color w:val="000000"/>
          <w:sz w:val="24"/>
          <w:szCs w:val="24"/>
        </w:rPr>
        <w:t>份，副本</w:t>
      </w:r>
      <w:r>
        <w:rPr>
          <w:rFonts w:hint="eastAsia" w:ascii="宋体" w:hAnsi="宋体"/>
          <w:color w:val="000000"/>
          <w:sz w:val="24"/>
          <w:szCs w:val="24"/>
          <w:u w:val="single"/>
        </w:rPr>
        <w:t xml:space="preserve"> 2 </w:t>
      </w:r>
      <w:r>
        <w:rPr>
          <w:rFonts w:hint="eastAsia" w:ascii="宋体" w:hAnsi="宋体"/>
          <w:color w:val="000000"/>
          <w:sz w:val="24"/>
          <w:szCs w:val="24"/>
        </w:rPr>
        <w:t>份。</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3．我方承诺：本次比选的有效期为90天。</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4．我方完全理解和接受贵方竞争性比选文件的一切规定和要求及比选评审办法。</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5．在整个竞争性比选过程中，我方若有违规行为，接受按照相关法律法规和《竞争性比选文件》之规定给予惩罚。</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6．我方若成为中选人，将按照最终比选结果签订合同，并且严格履行合同义务。本承诺函将成为合同不可分割的一部分，与合同具有同等的法律效力。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7．我方同意按竞争性比选文件规定，交纳竞争性比选文件要求的保证金。如果我方成为中选人，保证在接到中选通知书的</w:t>
      </w:r>
      <w:r>
        <w:rPr>
          <w:rFonts w:ascii="宋体" w:hAnsi="宋体"/>
          <w:color w:val="000000"/>
          <w:sz w:val="24"/>
          <w:szCs w:val="24"/>
        </w:rPr>
        <w:t>同时</w:t>
      </w:r>
      <w:r>
        <w:rPr>
          <w:rFonts w:hint="eastAsia" w:ascii="宋体" w:hAnsi="宋体"/>
          <w:color w:val="000000"/>
          <w:sz w:val="24"/>
          <w:szCs w:val="24"/>
        </w:rPr>
        <w:t>，向比选代理机构交纳竞争性比选文件规定的比选代理服务费。</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竞选人（公章）：</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地址：  </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电话：                           传真：</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网址：                           邮编：</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联系人：</w:t>
      </w:r>
    </w:p>
    <w:p>
      <w:pPr>
        <w:snapToGrid w:val="0"/>
        <w:spacing w:line="480" w:lineRule="exact"/>
        <w:ind w:firstLine="480" w:firstLineChars="200"/>
        <w:rPr>
          <w:rFonts w:ascii="宋体" w:hAnsi="宋体"/>
          <w:color w:val="000000"/>
          <w:sz w:val="24"/>
          <w:szCs w:val="24"/>
        </w:rPr>
      </w:pPr>
    </w:p>
    <w:p>
      <w:pPr>
        <w:snapToGrid w:val="0"/>
        <w:spacing w:line="480" w:lineRule="exact"/>
        <w:ind w:firstLine="5280" w:firstLineChars="2200"/>
        <w:rPr>
          <w:rFonts w:ascii="宋体" w:hAnsi="宋体"/>
          <w:color w:val="000000"/>
          <w:sz w:val="24"/>
          <w:szCs w:val="24"/>
        </w:rPr>
        <w:sectPr>
          <w:pgSz w:w="11907" w:h="16840"/>
          <w:pgMar w:top="1134" w:right="1191" w:bottom="1134" w:left="1304" w:header="851" w:footer="992" w:gutter="0"/>
          <w:cols w:space="720" w:num="1"/>
          <w:docGrid w:linePitch="380" w:charSpace="-5735"/>
        </w:sectPr>
      </w:pPr>
      <w:r>
        <w:rPr>
          <w:rFonts w:hint="eastAsia" w:ascii="宋体" w:hAnsi="宋体"/>
          <w:color w:val="000000"/>
          <w:sz w:val="24"/>
          <w:szCs w:val="24"/>
        </w:rPr>
        <w:t xml:space="preserve">  年   月   日</w:t>
      </w:r>
    </w:p>
    <w:p>
      <w:pPr>
        <w:spacing w:line="480" w:lineRule="exact"/>
        <w:ind w:right="480" w:firstLine="6480" w:firstLineChars="2700"/>
        <w:rPr>
          <w:rFonts w:ascii="宋体" w:hAnsi="宋体"/>
          <w:color w:val="000000"/>
          <w:sz w:val="24"/>
          <w:szCs w:val="24"/>
        </w:rPr>
      </w:pPr>
    </w:p>
    <w:p>
      <w:pPr>
        <w:pStyle w:val="5"/>
        <w:spacing w:before="0" w:after="0" w:line="480" w:lineRule="exact"/>
        <w:ind w:firstLine="470" w:firstLineChars="196"/>
        <w:rPr>
          <w:rFonts w:ascii="宋体" w:hAnsi="宋体"/>
          <w:b w:val="0"/>
          <w:color w:val="000000"/>
          <w:sz w:val="24"/>
          <w:szCs w:val="24"/>
        </w:rPr>
      </w:pPr>
      <w:bookmarkStart w:id="158" w:name="_Toc313008357"/>
      <w:bookmarkStart w:id="159" w:name="_Toc342913420"/>
      <w:bookmarkStart w:id="160" w:name="_Toc433792170"/>
      <w:bookmarkStart w:id="161" w:name="_Toc313888361"/>
      <w:bookmarkStart w:id="162" w:name="_Toc29873"/>
      <w:bookmarkStart w:id="163" w:name="_Toc28147"/>
      <w:r>
        <w:rPr>
          <w:rFonts w:hint="eastAsia" w:ascii="宋体" w:hAnsi="宋体"/>
          <w:b w:val="0"/>
          <w:color w:val="000000"/>
          <w:sz w:val="24"/>
          <w:szCs w:val="24"/>
        </w:rPr>
        <w:t>三、服务部分</w:t>
      </w:r>
      <w:bookmarkEnd w:id="158"/>
      <w:bookmarkEnd w:id="159"/>
      <w:bookmarkEnd w:id="160"/>
      <w:bookmarkEnd w:id="161"/>
      <w:bookmarkEnd w:id="162"/>
      <w:bookmarkEnd w:id="163"/>
    </w:p>
    <w:p>
      <w:pPr>
        <w:tabs>
          <w:tab w:val="left" w:pos="6300"/>
        </w:tabs>
        <w:snapToGrid w:val="0"/>
        <w:spacing w:line="480" w:lineRule="exact"/>
        <w:ind w:firstLine="570"/>
        <w:jc w:val="center"/>
        <w:rPr>
          <w:rFonts w:ascii="宋体" w:hAnsi="宋体"/>
          <w:color w:val="000000"/>
          <w:sz w:val="24"/>
          <w:szCs w:val="24"/>
        </w:rPr>
      </w:pPr>
      <w:r>
        <w:rPr>
          <w:rFonts w:hint="eastAsia" w:ascii="宋体" w:hAnsi="宋体"/>
          <w:color w:val="000000"/>
          <w:sz w:val="24"/>
          <w:szCs w:val="24"/>
        </w:rPr>
        <w:t>服务响应偏离表</w:t>
      </w:r>
    </w:p>
    <w:p>
      <w:pPr>
        <w:pStyle w:val="35"/>
        <w:tabs>
          <w:tab w:val="left" w:pos="6300"/>
        </w:tabs>
        <w:snapToGrid w:val="0"/>
        <w:spacing w:line="480" w:lineRule="exact"/>
        <w:ind w:firstLine="480" w:firstLineChars="200"/>
        <w:outlineLvl w:val="0"/>
        <w:rPr>
          <w:rFonts w:ascii="宋体" w:hAnsi="宋体"/>
          <w:color w:val="000000"/>
          <w:sz w:val="24"/>
          <w:szCs w:val="24"/>
        </w:rPr>
      </w:pPr>
      <w:bookmarkStart w:id="164" w:name="_Toc5256"/>
      <w:bookmarkStart w:id="165" w:name="_Toc2556"/>
      <w:r>
        <w:rPr>
          <w:rFonts w:hint="eastAsia" w:ascii="宋体" w:hAnsi="宋体"/>
          <w:color w:val="000000"/>
          <w:sz w:val="24"/>
          <w:szCs w:val="24"/>
        </w:rPr>
        <w:t>项目名称：</w:t>
      </w:r>
      <w:bookmarkEnd w:id="164"/>
      <w:bookmarkEnd w:id="165"/>
    </w:p>
    <w:tbl>
      <w:tblPr>
        <w:tblStyle w:val="6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bookmarkStart w:id="166" w:name="_Toc20557"/>
            <w:bookmarkStart w:id="167" w:name="_Toc13153"/>
            <w:r>
              <w:rPr>
                <w:rFonts w:hint="eastAsia" w:ascii="宋体" w:hAnsi="宋体"/>
                <w:color w:val="000000"/>
                <w:sz w:val="21"/>
                <w:szCs w:val="21"/>
              </w:rPr>
              <w:t>序号</w:t>
            </w:r>
            <w:bookmarkEnd w:id="166"/>
            <w:bookmarkEnd w:id="167"/>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bookmarkStart w:id="168" w:name="_Toc9184"/>
            <w:bookmarkStart w:id="169" w:name="_Toc12706"/>
            <w:r>
              <w:rPr>
                <w:rFonts w:hint="eastAsia" w:ascii="宋体" w:hAnsi="宋体"/>
                <w:color w:val="000000"/>
                <w:sz w:val="21"/>
                <w:szCs w:val="21"/>
              </w:rPr>
              <w:t>服务需求</w:t>
            </w:r>
            <w:bookmarkEnd w:id="168"/>
            <w:bookmarkEnd w:id="169"/>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bookmarkStart w:id="170" w:name="_Toc16628"/>
            <w:bookmarkStart w:id="171" w:name="_Toc11966"/>
            <w:r>
              <w:rPr>
                <w:rFonts w:hint="eastAsia" w:ascii="宋体" w:hAnsi="宋体"/>
                <w:color w:val="000000"/>
                <w:sz w:val="21"/>
                <w:szCs w:val="21"/>
              </w:rPr>
              <w:t>响应情况</w:t>
            </w:r>
            <w:bookmarkEnd w:id="170"/>
            <w:bookmarkEnd w:id="171"/>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bookmarkStart w:id="172" w:name="_Toc23805"/>
            <w:bookmarkStart w:id="173" w:name="_Toc23099"/>
            <w:r>
              <w:rPr>
                <w:rFonts w:hint="eastAsia" w:ascii="宋体" w:hAnsi="宋体"/>
                <w:color w:val="000000"/>
                <w:sz w:val="21"/>
                <w:szCs w:val="21"/>
              </w:rPr>
              <w:t>差异说明</w:t>
            </w:r>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r>
    </w:tbl>
    <w:p>
      <w:pPr>
        <w:rPr>
          <w:color w:val="000000"/>
        </w:rPr>
      </w:pPr>
    </w:p>
    <w:p>
      <w:pPr>
        <w:spacing w:line="480" w:lineRule="exact"/>
        <w:ind w:firstLine="600" w:firstLineChars="250"/>
        <w:rPr>
          <w:rFonts w:ascii="宋体" w:hAnsi="宋体"/>
          <w:color w:val="000000"/>
          <w:sz w:val="24"/>
          <w:szCs w:val="24"/>
        </w:rPr>
      </w:pPr>
      <w:r>
        <w:rPr>
          <w:rFonts w:hint="eastAsia" w:ascii="宋体" w:hAnsi="宋体"/>
          <w:color w:val="000000"/>
          <w:sz w:val="24"/>
          <w:szCs w:val="24"/>
        </w:rPr>
        <w:t>竞选人：                                      法定代表人或其授权代表：</w:t>
      </w:r>
    </w:p>
    <w:p>
      <w:pPr>
        <w:spacing w:line="480" w:lineRule="exact"/>
        <w:rPr>
          <w:rFonts w:ascii="宋体" w:hAnsi="宋体"/>
          <w:color w:val="000000"/>
          <w:sz w:val="24"/>
          <w:szCs w:val="24"/>
        </w:rPr>
      </w:pPr>
    </w:p>
    <w:p>
      <w:pPr>
        <w:spacing w:line="480" w:lineRule="exact"/>
        <w:ind w:firstLine="720" w:firstLineChars="300"/>
        <w:rPr>
          <w:rFonts w:ascii="宋体" w:hAnsi="宋体"/>
          <w:color w:val="000000"/>
          <w:sz w:val="24"/>
          <w:szCs w:val="24"/>
        </w:rPr>
      </w:pPr>
      <w:r>
        <w:rPr>
          <w:rFonts w:hint="eastAsia" w:ascii="宋体" w:hAnsi="宋体"/>
          <w:color w:val="000000"/>
          <w:sz w:val="24"/>
          <w:szCs w:val="24"/>
        </w:rPr>
        <w:t>（竞选人公章）                               （签字或盖章）</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注：</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1.本表即为对本项目“第二篇 项目服务需求”中所列服务要求进行比较和响应；</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2.该表必须按照竞争性比选要求逐条如实填写，根据响应情况在“差异说明”项填写正偏离或负偏离及原因，完全符合的填写“无差异”；</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3.该表可扩展，并逐页签字或盖章；</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4.可附相关服务支撑材料。（格式自定）</w:t>
      </w:r>
    </w:p>
    <w:p>
      <w:pPr>
        <w:tabs>
          <w:tab w:val="left" w:pos="6300"/>
        </w:tabs>
        <w:snapToGrid w:val="0"/>
        <w:spacing w:line="480" w:lineRule="exact"/>
        <w:rPr>
          <w:rFonts w:ascii="宋体" w:hAnsi="宋体"/>
          <w:color w:val="000000"/>
          <w:sz w:val="21"/>
          <w:szCs w:val="21"/>
        </w:rPr>
      </w:pPr>
      <w:bookmarkStart w:id="174" w:name="_Toc313888362"/>
      <w:bookmarkStart w:id="175" w:name="_Toc313008358"/>
      <w:bookmarkStart w:id="176" w:name="_Toc342913421"/>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（二）业绩、服务团队、设计思路阐述等评审内容（格式自定）</w:t>
      </w:r>
    </w:p>
    <w:p>
      <w:pPr>
        <w:tabs>
          <w:tab w:val="left" w:pos="6300"/>
        </w:tabs>
        <w:snapToGrid w:val="0"/>
        <w:spacing w:line="480" w:lineRule="exact"/>
        <w:ind w:firstLine="420" w:firstLineChars="200"/>
        <w:rPr>
          <w:rFonts w:ascii="宋体" w:hAnsi="宋体"/>
          <w:color w:val="000000"/>
          <w:sz w:val="21"/>
          <w:szCs w:val="21"/>
        </w:rPr>
      </w:pPr>
    </w:p>
    <w:p>
      <w:pPr>
        <w:tabs>
          <w:tab w:val="left" w:pos="6300"/>
        </w:tabs>
        <w:snapToGrid w:val="0"/>
        <w:spacing w:line="480" w:lineRule="exact"/>
        <w:ind w:firstLine="420" w:firstLineChars="200"/>
        <w:rPr>
          <w:rFonts w:ascii="宋体" w:hAnsi="宋体"/>
          <w:color w:val="000000"/>
          <w:sz w:val="21"/>
          <w:szCs w:val="21"/>
        </w:rPr>
      </w:pPr>
    </w:p>
    <w:p>
      <w:pPr>
        <w:pStyle w:val="5"/>
        <w:spacing w:before="0" w:after="0" w:line="480" w:lineRule="exact"/>
        <w:ind w:firstLine="413" w:firstLineChars="196"/>
        <w:rPr>
          <w:rFonts w:ascii="宋体" w:hAnsi="宋体"/>
          <w:b w:val="0"/>
          <w:color w:val="000000"/>
          <w:sz w:val="24"/>
          <w:szCs w:val="24"/>
        </w:rPr>
      </w:pPr>
      <w:r>
        <w:rPr>
          <w:rFonts w:ascii="宋体" w:hAnsi="宋体"/>
          <w:color w:val="000000"/>
          <w:sz w:val="21"/>
          <w:szCs w:val="21"/>
        </w:rPr>
        <w:br w:type="page"/>
      </w:r>
      <w:bookmarkStart w:id="177" w:name="_Toc433792171"/>
      <w:bookmarkStart w:id="178" w:name="_Toc19187"/>
      <w:bookmarkStart w:id="179" w:name="_Toc4099"/>
      <w:r>
        <w:rPr>
          <w:rFonts w:hint="eastAsia" w:ascii="宋体" w:hAnsi="宋体"/>
          <w:b w:val="0"/>
          <w:color w:val="000000"/>
          <w:sz w:val="24"/>
          <w:szCs w:val="24"/>
        </w:rPr>
        <w:t>四、商务部分</w:t>
      </w:r>
      <w:bookmarkEnd w:id="174"/>
      <w:bookmarkEnd w:id="175"/>
      <w:bookmarkEnd w:id="176"/>
      <w:bookmarkEnd w:id="177"/>
      <w:bookmarkEnd w:id="178"/>
      <w:bookmarkEnd w:id="179"/>
    </w:p>
    <w:p>
      <w:pPr>
        <w:spacing w:line="480" w:lineRule="exact"/>
        <w:ind w:firstLine="480" w:firstLineChars="200"/>
        <w:rPr>
          <w:rFonts w:ascii="宋体" w:hAnsi="宋体"/>
          <w:color w:val="000000"/>
          <w:sz w:val="24"/>
          <w:szCs w:val="24"/>
        </w:rPr>
      </w:pPr>
      <w:bookmarkStart w:id="180" w:name="_Toc283382459"/>
      <w:r>
        <w:rPr>
          <w:rFonts w:hint="eastAsia" w:ascii="宋体" w:hAnsi="宋体"/>
          <w:color w:val="000000"/>
          <w:sz w:val="24"/>
          <w:szCs w:val="24"/>
        </w:rPr>
        <w:t>（一）商务响应偏离表</w:t>
      </w:r>
    </w:p>
    <w:p>
      <w:pPr>
        <w:snapToGrid w:val="0"/>
        <w:spacing w:line="480" w:lineRule="exact"/>
        <w:jc w:val="center"/>
        <w:rPr>
          <w:rFonts w:ascii="宋体" w:hAnsi="宋体"/>
          <w:color w:val="000000"/>
          <w:sz w:val="24"/>
          <w:szCs w:val="24"/>
        </w:rPr>
      </w:pPr>
      <w:r>
        <w:rPr>
          <w:rFonts w:hint="eastAsia" w:ascii="宋体" w:hAnsi="宋体"/>
          <w:color w:val="000000"/>
          <w:sz w:val="24"/>
          <w:szCs w:val="24"/>
        </w:rPr>
        <w:t>商务响应偏离表（本表可自行设计格式）</w:t>
      </w:r>
    </w:p>
    <w:p>
      <w:pPr>
        <w:snapToGrid w:val="0"/>
        <w:spacing w:line="480" w:lineRule="exact"/>
        <w:ind w:firstLine="465"/>
        <w:rPr>
          <w:rFonts w:ascii="宋体" w:hAnsi="宋体"/>
          <w:color w:val="000000"/>
          <w:sz w:val="24"/>
          <w:szCs w:val="24"/>
        </w:rPr>
      </w:pPr>
      <w:r>
        <w:rPr>
          <w:rFonts w:hint="eastAsia" w:ascii="宋体" w:hAnsi="宋体"/>
          <w:color w:val="000000"/>
          <w:sz w:val="24"/>
          <w:szCs w:val="24"/>
        </w:rPr>
        <w:t>对于竞争性比选文件的商务要求，如有任何偏离请如实填写下表：</w:t>
      </w:r>
    </w:p>
    <w:tbl>
      <w:tblPr>
        <w:tblStyle w:val="6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bookmarkStart w:id="181" w:name="_Toc1705"/>
            <w:bookmarkStart w:id="182" w:name="_Toc9185"/>
            <w:r>
              <w:rPr>
                <w:rFonts w:hint="eastAsia" w:ascii="宋体" w:hAnsi="宋体"/>
                <w:color w:val="000000"/>
                <w:sz w:val="21"/>
                <w:szCs w:val="21"/>
              </w:rPr>
              <w:t>序号</w:t>
            </w:r>
            <w:bookmarkEnd w:id="181"/>
            <w:bookmarkEnd w:id="182"/>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bookmarkStart w:id="183" w:name="_Toc30201"/>
            <w:bookmarkStart w:id="184" w:name="_Toc28379"/>
            <w:r>
              <w:rPr>
                <w:rFonts w:hint="eastAsia" w:ascii="宋体" w:hAnsi="宋体"/>
                <w:color w:val="000000"/>
                <w:sz w:val="21"/>
                <w:szCs w:val="21"/>
              </w:rPr>
              <w:t>比选项目需求</w:t>
            </w:r>
            <w:bookmarkEnd w:id="183"/>
            <w:bookmarkEnd w:id="184"/>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bookmarkStart w:id="185" w:name="_Toc26384"/>
            <w:bookmarkStart w:id="186" w:name="_Toc18334"/>
            <w:r>
              <w:rPr>
                <w:rFonts w:hint="eastAsia" w:ascii="宋体" w:hAnsi="宋体"/>
                <w:color w:val="000000"/>
                <w:sz w:val="21"/>
                <w:szCs w:val="21"/>
              </w:rPr>
              <w:t>响应情况</w:t>
            </w:r>
            <w:bookmarkEnd w:id="185"/>
            <w:bookmarkEnd w:id="186"/>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bookmarkStart w:id="187" w:name="_Toc25001"/>
            <w:bookmarkStart w:id="188" w:name="_Toc26608"/>
            <w:r>
              <w:rPr>
                <w:rFonts w:hint="eastAsia" w:ascii="宋体" w:hAnsi="宋体"/>
                <w:color w:val="000000"/>
                <w:sz w:val="21"/>
                <w:szCs w:val="21"/>
              </w:rPr>
              <w:t>偏离说明</w:t>
            </w:r>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bl>
    <w:p>
      <w:pPr>
        <w:snapToGrid w:val="0"/>
        <w:spacing w:line="480" w:lineRule="exact"/>
        <w:ind w:firstLine="465"/>
        <w:rPr>
          <w:rFonts w:ascii="宋体" w:hAnsi="宋体"/>
          <w:color w:val="000000"/>
          <w:sz w:val="21"/>
          <w:szCs w:val="21"/>
        </w:rPr>
      </w:pPr>
    </w:p>
    <w:p>
      <w:pPr>
        <w:spacing w:line="480" w:lineRule="exact"/>
        <w:ind w:firstLine="600" w:firstLineChars="250"/>
        <w:rPr>
          <w:rFonts w:ascii="宋体" w:hAnsi="宋体"/>
          <w:color w:val="000000"/>
          <w:sz w:val="24"/>
          <w:szCs w:val="24"/>
        </w:rPr>
      </w:pPr>
      <w:r>
        <w:rPr>
          <w:rFonts w:hint="eastAsia" w:ascii="宋体" w:hAnsi="宋体"/>
          <w:color w:val="000000"/>
          <w:sz w:val="24"/>
          <w:szCs w:val="24"/>
        </w:rPr>
        <w:t>竞选人：                                  法定代表人或其授权代表：</w:t>
      </w:r>
    </w:p>
    <w:p>
      <w:pPr>
        <w:spacing w:line="480" w:lineRule="exact"/>
        <w:rPr>
          <w:rFonts w:ascii="宋体" w:hAnsi="宋体"/>
          <w:color w:val="000000"/>
          <w:sz w:val="24"/>
          <w:szCs w:val="24"/>
        </w:rPr>
      </w:pPr>
    </w:p>
    <w:p>
      <w:pPr>
        <w:spacing w:line="480" w:lineRule="exact"/>
        <w:ind w:firstLine="360" w:firstLineChars="150"/>
        <w:rPr>
          <w:rFonts w:ascii="宋体" w:hAnsi="宋体"/>
          <w:color w:val="000000"/>
          <w:sz w:val="24"/>
          <w:szCs w:val="24"/>
        </w:rPr>
      </w:pPr>
      <w:r>
        <w:rPr>
          <w:rFonts w:hint="eastAsia" w:ascii="宋体" w:hAnsi="宋体"/>
          <w:color w:val="000000"/>
          <w:sz w:val="24"/>
          <w:szCs w:val="24"/>
        </w:rPr>
        <w:t>（竞选人公章）                                 （签字或盖章）</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注：</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1.本表即为对本项目“第三篇 项目商务要求”中所列商务要求进行比较和响应；</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2.该表必须按照竞争性比选要求逐条如实填写，根据响应情况在“差异说明”项填写正偏离或负偏离及原因，完全符合的填写“无差异”；</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3.该表可扩展，并逐页签字或盖章；</w:t>
      </w:r>
    </w:p>
    <w:p>
      <w:pPr>
        <w:spacing w:line="480" w:lineRule="exact"/>
        <w:ind w:firstLine="480" w:firstLineChars="200"/>
        <w:rPr>
          <w:rFonts w:ascii="宋体" w:hAnsi="宋体"/>
          <w:color w:val="000000"/>
          <w:sz w:val="24"/>
          <w:szCs w:val="24"/>
        </w:rPr>
      </w:pPr>
      <w:r>
        <w:rPr>
          <w:rFonts w:ascii="宋体" w:hAnsi="宋体"/>
          <w:color w:val="000000"/>
          <w:sz w:val="24"/>
          <w:szCs w:val="24"/>
        </w:rPr>
        <w:br w:type="page"/>
      </w:r>
      <w:r>
        <w:rPr>
          <w:rFonts w:hint="eastAsia" w:ascii="宋体" w:hAnsi="宋体"/>
          <w:color w:val="000000"/>
          <w:sz w:val="24"/>
          <w:szCs w:val="24"/>
        </w:rPr>
        <w:t>（二）其它优惠承诺（如有，格式自定。）</w:t>
      </w:r>
    </w:p>
    <w:p>
      <w:pPr>
        <w:spacing w:line="480" w:lineRule="exact"/>
        <w:ind w:firstLine="480" w:firstLineChars="200"/>
        <w:rPr>
          <w:rFonts w:ascii="宋体" w:hAnsi="宋体"/>
          <w:color w:val="000000"/>
          <w:sz w:val="24"/>
          <w:szCs w:val="24"/>
        </w:rPr>
      </w:pPr>
    </w:p>
    <w:p>
      <w:pPr>
        <w:pStyle w:val="5"/>
        <w:spacing w:before="0" w:after="0" w:line="480" w:lineRule="exact"/>
        <w:rPr>
          <w:rFonts w:ascii="宋体" w:hAnsi="宋体"/>
          <w:b w:val="0"/>
          <w:color w:val="000000"/>
          <w:sz w:val="24"/>
          <w:szCs w:val="24"/>
        </w:rPr>
      </w:pPr>
      <w:r>
        <w:rPr>
          <w:rFonts w:ascii="宋体" w:hAnsi="宋体"/>
          <w:b w:val="0"/>
          <w:color w:val="000000"/>
          <w:sz w:val="24"/>
          <w:szCs w:val="24"/>
        </w:rPr>
        <w:br w:type="page"/>
      </w:r>
      <w:bookmarkEnd w:id="180"/>
      <w:bookmarkStart w:id="189" w:name="_Toc313888363"/>
      <w:bookmarkStart w:id="190" w:name="_Toc313008359"/>
      <w:bookmarkStart w:id="191" w:name="_Toc433792172"/>
      <w:bookmarkStart w:id="192" w:name="_Toc342913422"/>
      <w:bookmarkStart w:id="193" w:name="_Toc27889"/>
      <w:bookmarkStart w:id="194" w:name="_Toc16413"/>
      <w:r>
        <w:rPr>
          <w:rFonts w:hint="eastAsia" w:ascii="宋体" w:hAnsi="宋体"/>
          <w:b w:val="0"/>
          <w:color w:val="000000"/>
          <w:sz w:val="24"/>
          <w:szCs w:val="24"/>
        </w:rPr>
        <w:t>五、资格条件及其他</w:t>
      </w:r>
      <w:bookmarkEnd w:id="189"/>
      <w:bookmarkEnd w:id="190"/>
      <w:bookmarkEnd w:id="191"/>
      <w:bookmarkEnd w:id="192"/>
      <w:bookmarkEnd w:id="193"/>
      <w:bookmarkEnd w:id="194"/>
    </w:p>
    <w:p>
      <w:pPr>
        <w:rPr>
          <w:color w:val="000000"/>
          <w:sz w:val="24"/>
          <w:szCs w:val="24"/>
        </w:rPr>
      </w:pPr>
    </w:p>
    <w:p>
      <w:pPr>
        <w:numPr>
          <w:ilvl w:val="0"/>
          <w:numId w:val="4"/>
        </w:num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资格条件</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 xml:space="preserve">  1．具有独立承担民事责任的能力；</w:t>
      </w:r>
    </w:p>
    <w:p>
      <w:pPr>
        <w:tabs>
          <w:tab w:val="left" w:pos="6300"/>
        </w:tabs>
        <w:snapToGrid w:val="0"/>
        <w:spacing w:line="500" w:lineRule="exact"/>
        <w:ind w:firstLine="480" w:firstLineChars="200"/>
        <w:rPr>
          <w:color w:val="000000"/>
          <w:sz w:val="24"/>
          <w:szCs w:val="24"/>
        </w:rPr>
      </w:pPr>
      <w:r>
        <w:rPr>
          <w:rFonts w:hint="eastAsia" w:ascii="宋体" w:hAnsi="宋体"/>
          <w:color w:val="000000"/>
          <w:sz w:val="24"/>
          <w:szCs w:val="24"/>
        </w:rPr>
        <w:t>提供营业执照复印件、组织机构代码证复印件、税务登记证副本复印件。竞选人按“多证合一”登记制度办理营业执照的，组织机构代码证和税务登记证（副本）以竞选人所提供的营业执照（副本）复印件为准。</w:t>
      </w:r>
    </w:p>
    <w:p>
      <w:pPr>
        <w:tabs>
          <w:tab w:val="left" w:pos="6300"/>
        </w:tabs>
        <w:snapToGrid w:val="0"/>
        <w:spacing w:line="560" w:lineRule="exact"/>
        <w:ind w:firstLine="630" w:firstLineChars="300"/>
        <w:rPr>
          <w:rFonts w:ascii="宋体" w:hAnsi="宋体"/>
          <w:color w:val="000000"/>
          <w:sz w:val="24"/>
          <w:szCs w:val="24"/>
        </w:rPr>
      </w:pPr>
      <w:r>
        <w:rPr>
          <w:rFonts w:ascii="宋体" w:hAnsi="宋体"/>
          <w:color w:val="000000"/>
          <w:sz w:val="21"/>
          <w:szCs w:val="21"/>
        </w:rPr>
        <w:br w:type="page"/>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法定代表人身份证明书（格式）</w:t>
      </w:r>
    </w:p>
    <w:p>
      <w:pPr>
        <w:tabs>
          <w:tab w:val="left" w:pos="6300"/>
        </w:tabs>
        <w:snapToGrid w:val="0"/>
        <w:spacing w:line="480" w:lineRule="exact"/>
        <w:jc w:val="center"/>
        <w:outlineLvl w:val="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u w:val="single"/>
        </w:rPr>
      </w:pPr>
      <w:r>
        <w:rPr>
          <w:rFonts w:hint="eastAsia" w:ascii="宋体" w:hAnsi="宋体"/>
          <w:color w:val="000000"/>
          <w:sz w:val="24"/>
          <w:szCs w:val="24"/>
        </w:rPr>
        <w:t>项目名称：________________</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致：________________（比选代理机构名称）：</w:t>
      </w:r>
    </w:p>
    <w:p>
      <w:pPr>
        <w:tabs>
          <w:tab w:val="left" w:pos="6300"/>
        </w:tabs>
        <w:snapToGrid w:val="0"/>
        <w:spacing w:line="480" w:lineRule="exact"/>
        <w:ind w:firstLine="566" w:firstLineChars="236"/>
        <w:rPr>
          <w:rFonts w:ascii="宋体" w:hAnsi="宋体"/>
          <w:color w:val="000000"/>
          <w:sz w:val="24"/>
          <w:szCs w:val="24"/>
        </w:rPr>
      </w:pPr>
      <w:r>
        <w:rPr>
          <w:rFonts w:hint="eastAsia" w:ascii="宋体" w:hAnsi="宋体"/>
          <w:color w:val="000000"/>
          <w:sz w:val="24"/>
          <w:szCs w:val="24"/>
        </w:rPr>
        <w:t>________________（法定代表人姓名）在________________（竞选人名称）任________________（职务名称）职务，是________________（竞选人名称）的法定代表人。</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特此证明。</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（竞选人公章）</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（附：法定代表人身份证正反面复印件）</w:t>
      </w: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1"/>
          <w:szCs w:val="21"/>
        </w:rPr>
      </w:pPr>
    </w:p>
    <w:p>
      <w:pPr>
        <w:tabs>
          <w:tab w:val="left" w:pos="6300"/>
        </w:tabs>
        <w:snapToGrid w:val="0"/>
        <w:spacing w:line="480" w:lineRule="exact"/>
        <w:jc w:val="center"/>
        <w:outlineLvl w:val="0"/>
        <w:rPr>
          <w:rFonts w:ascii="宋体" w:hAnsi="宋体"/>
          <w:color w:val="000000"/>
          <w:sz w:val="24"/>
          <w:szCs w:val="24"/>
        </w:rPr>
      </w:pPr>
      <w:r>
        <w:rPr>
          <w:rFonts w:ascii="宋体" w:hAnsi="宋体"/>
          <w:color w:val="000000"/>
          <w:sz w:val="21"/>
          <w:szCs w:val="21"/>
        </w:rPr>
        <w:br w:type="page"/>
      </w:r>
      <w:bookmarkStart w:id="195" w:name="_Toc6084"/>
      <w:bookmarkStart w:id="196" w:name="_Toc8538"/>
      <w:r>
        <w:rPr>
          <w:rFonts w:ascii="宋体" w:hAnsi="宋体"/>
          <w:color w:val="000000"/>
          <w:sz w:val="24"/>
          <w:szCs w:val="24"/>
        </w:rPr>
        <w:t>3.</w:t>
      </w:r>
      <w:r>
        <w:rPr>
          <w:rFonts w:hint="eastAsia" w:ascii="宋体" w:hAnsi="宋体"/>
          <w:color w:val="000000"/>
          <w:sz w:val="24"/>
          <w:szCs w:val="24"/>
        </w:rPr>
        <w:t>法定代表人授权委托书（格式）</w:t>
      </w:r>
      <w:bookmarkEnd w:id="195"/>
      <w:bookmarkEnd w:id="196"/>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项目名称：_____________________</w:t>
      </w: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日    期：_______________</w:t>
      </w: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致：_____________________（比选代理机构名称）</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_____________________（竞选人名称）是中华人民共和国合法企业，法定地址______________________________。</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 xml:space="preserve"> _________（竞选人法定代表人姓名）特授权_________（被授权人姓名及身份证代码）代表我单位全权办理对上述项目的比选、签约等具体工作，并签署全部有关的文件、协议及合同。</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我单位对被授权人的签字负全部责任。</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被授权人：                                  竞选人法定代表人：</w:t>
      </w:r>
    </w:p>
    <w:p>
      <w:pPr>
        <w:tabs>
          <w:tab w:val="left" w:pos="6300"/>
        </w:tabs>
        <w:snapToGrid w:val="0"/>
        <w:spacing w:line="480" w:lineRule="exact"/>
        <w:ind w:firstLine="240" w:firstLineChars="100"/>
        <w:rPr>
          <w:rFonts w:ascii="宋体" w:hAnsi="宋体"/>
          <w:color w:val="000000"/>
          <w:sz w:val="24"/>
          <w:szCs w:val="24"/>
        </w:rPr>
      </w:pPr>
      <w:r>
        <w:rPr>
          <w:rFonts w:hint="eastAsia" w:ascii="宋体" w:hAnsi="宋体"/>
          <w:color w:val="000000"/>
          <w:sz w:val="24"/>
          <w:szCs w:val="24"/>
        </w:rPr>
        <w:t>（签字或盖章）                                （签字或盖章）：</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（附：被授权人身份证复印件）</w:t>
      </w: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snapToGrid w:val="0"/>
        <w:spacing w:line="480" w:lineRule="exact"/>
        <w:rPr>
          <w:rFonts w:ascii="宋体" w:hAnsi="宋体"/>
          <w:color w:val="000000"/>
          <w:sz w:val="24"/>
          <w:szCs w:val="24"/>
        </w:rPr>
      </w:pPr>
      <w:r>
        <w:rPr>
          <w:rFonts w:hint="eastAsia" w:ascii="宋体" w:hAnsi="宋体"/>
          <w:color w:val="000000"/>
          <w:sz w:val="24"/>
          <w:szCs w:val="24"/>
        </w:rPr>
        <w:t xml:space="preserve">                                                    （竞选人公章）</w:t>
      </w:r>
    </w:p>
    <w:p>
      <w:pPr>
        <w:snapToGrid w:val="0"/>
        <w:spacing w:line="480" w:lineRule="exact"/>
        <w:ind w:firstLine="6480" w:firstLineChars="2700"/>
        <w:rPr>
          <w:rFonts w:ascii="宋体" w:hAnsi="宋体"/>
          <w:color w:val="000000"/>
          <w:sz w:val="24"/>
          <w:szCs w:val="24"/>
        </w:rPr>
      </w:pPr>
      <w:r>
        <w:rPr>
          <w:rFonts w:hint="eastAsia" w:ascii="宋体" w:hAnsi="宋体"/>
          <w:color w:val="000000"/>
          <w:sz w:val="24"/>
          <w:szCs w:val="24"/>
        </w:rPr>
        <w:t>年   月   日</w:t>
      </w: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注：如竞选单位法定代表人亲自参加，则无须提供该授权委托书。</w:t>
      </w:r>
      <w:r>
        <w:rPr>
          <w:rFonts w:hint="eastAsia" w:ascii="宋体" w:hAnsi="宋体"/>
          <w:color w:val="000000"/>
          <w:sz w:val="24"/>
          <w:szCs w:val="24"/>
        </w:rPr>
        <w:br w:type="page"/>
      </w:r>
      <w:r>
        <w:rPr>
          <w:rFonts w:ascii="宋体" w:hAnsi="宋体"/>
          <w:color w:val="000000"/>
          <w:sz w:val="24"/>
          <w:szCs w:val="24"/>
        </w:rPr>
        <w:t>4.</w:t>
      </w:r>
      <w:r>
        <w:rPr>
          <w:rFonts w:hint="eastAsia" w:ascii="宋体" w:hAnsi="宋体"/>
          <w:color w:val="000000"/>
          <w:sz w:val="24"/>
          <w:szCs w:val="24"/>
        </w:rPr>
        <w:t>具有良好的商业信誉和健全的财务会计制度；</w:t>
      </w: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2019年度或2020年度财务状况报告（表）或其基本开户银行出具的资信证明复印件，本年度新成立或成立不满一年的组织和自然人无法提供财务状况报告（表）的，可提供银行出具的资信证明复印件。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有依法缴纳税收和社会保障金的良好记录；</w:t>
      </w: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缴纳社会保障金的证明材料指：社会保险登记证或缴纳社会保险的凭据（专用收据或社会保险缴纳清单）。依法免税或不需要缴纳社会保障资金的竞选人，应提供相应文件证明其依法免税或不需要缴纳社会保障资金。</w:t>
      </w: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r>
        <w:rPr>
          <w:rFonts w:ascii="宋体" w:hAnsi="宋体"/>
          <w:color w:val="000000"/>
          <w:sz w:val="24"/>
          <w:szCs w:val="24"/>
        </w:rPr>
        <w:br w:type="page"/>
      </w:r>
      <w:r>
        <w:rPr>
          <w:rFonts w:hint="eastAsia" w:ascii="宋体" w:hAnsi="宋体"/>
          <w:color w:val="000000"/>
          <w:sz w:val="24"/>
          <w:szCs w:val="24"/>
        </w:rPr>
        <w:t>6、书面声明（格式）</w:t>
      </w:r>
    </w:p>
    <w:p>
      <w:pPr>
        <w:tabs>
          <w:tab w:val="left" w:pos="6300"/>
        </w:tabs>
        <w:snapToGrid w:val="0"/>
        <w:spacing w:line="480" w:lineRule="exact"/>
        <w:ind w:firstLine="120" w:firstLineChars="50"/>
        <w:jc w:val="center"/>
        <w:rPr>
          <w:rFonts w:ascii="宋体" w:hAnsi="宋体"/>
          <w:color w:val="000000"/>
          <w:sz w:val="24"/>
          <w:szCs w:val="24"/>
        </w:rPr>
      </w:pPr>
    </w:p>
    <w:p>
      <w:pPr>
        <w:tabs>
          <w:tab w:val="left" w:pos="6300"/>
        </w:tabs>
        <w:snapToGrid w:val="0"/>
        <w:spacing w:line="480" w:lineRule="exact"/>
        <w:ind w:firstLine="120" w:firstLineChars="50"/>
        <w:jc w:val="center"/>
        <w:rPr>
          <w:rFonts w:ascii="宋体" w:hAnsi="宋体"/>
          <w:color w:val="000000"/>
          <w:sz w:val="24"/>
          <w:szCs w:val="24"/>
        </w:rPr>
      </w:pPr>
      <w:r>
        <w:rPr>
          <w:rFonts w:hint="eastAsia" w:ascii="宋体" w:hAnsi="宋体"/>
          <w:color w:val="000000"/>
          <w:sz w:val="24"/>
          <w:szCs w:val="24"/>
        </w:rPr>
        <w:t>书面声明</w:t>
      </w:r>
    </w:p>
    <w:p>
      <w:pPr>
        <w:tabs>
          <w:tab w:val="left" w:pos="6300"/>
        </w:tabs>
        <w:snapToGrid w:val="0"/>
        <w:spacing w:line="480" w:lineRule="exact"/>
        <w:jc w:val="center"/>
        <w:rPr>
          <w:rFonts w:ascii="宋体" w:hAnsi="宋体"/>
          <w:color w:val="000000"/>
          <w:sz w:val="24"/>
          <w:szCs w:val="24"/>
        </w:rPr>
      </w:pPr>
    </w:p>
    <w:p>
      <w:pPr>
        <w:tabs>
          <w:tab w:val="left" w:pos="6300"/>
        </w:tabs>
        <w:snapToGrid w:val="0"/>
        <w:spacing w:line="500" w:lineRule="exact"/>
        <w:outlineLvl w:val="0"/>
        <w:rPr>
          <w:rFonts w:ascii="宋体" w:hAnsi="宋体"/>
          <w:color w:val="000000"/>
          <w:sz w:val="24"/>
          <w:szCs w:val="24"/>
        </w:rPr>
      </w:pPr>
      <w:bookmarkStart w:id="197" w:name="_Toc6774"/>
      <w:bookmarkStart w:id="198" w:name="_Toc16580"/>
      <w:r>
        <w:rPr>
          <w:rFonts w:hint="eastAsia" w:ascii="宋体" w:hAnsi="宋体"/>
          <w:color w:val="000000"/>
          <w:sz w:val="24"/>
          <w:szCs w:val="24"/>
        </w:rPr>
        <w:t>项目名称：</w:t>
      </w:r>
      <w:bookmarkEnd w:id="197"/>
      <w:bookmarkEnd w:id="198"/>
      <w:r>
        <w:rPr>
          <w:rFonts w:hint="eastAsia" w:ascii="宋体" w:hAnsi="宋体"/>
          <w:color w:val="000000"/>
          <w:sz w:val="24"/>
          <w:szCs w:val="24"/>
          <w:u w:val="single"/>
        </w:rPr>
        <w:t xml:space="preserve">                           </w:t>
      </w:r>
    </w:p>
    <w:p>
      <w:pPr>
        <w:tabs>
          <w:tab w:val="left" w:pos="6300"/>
        </w:tabs>
        <w:snapToGrid w:val="0"/>
        <w:spacing w:line="500" w:lineRule="exact"/>
        <w:outlineLvl w:val="0"/>
        <w:rPr>
          <w:rFonts w:ascii="宋体" w:hAnsi="宋体"/>
          <w:color w:val="000000"/>
          <w:sz w:val="24"/>
          <w:szCs w:val="24"/>
        </w:rPr>
      </w:pPr>
    </w:p>
    <w:p>
      <w:pPr>
        <w:tabs>
          <w:tab w:val="left" w:pos="6300"/>
        </w:tabs>
        <w:snapToGrid w:val="0"/>
        <w:spacing w:line="500" w:lineRule="exact"/>
        <w:ind w:firstLine="480" w:firstLineChars="200"/>
        <w:outlineLvl w:val="0"/>
        <w:rPr>
          <w:rFonts w:ascii="宋体" w:hAnsi="宋体"/>
          <w:color w:val="000000"/>
          <w:sz w:val="24"/>
          <w:szCs w:val="24"/>
        </w:rPr>
      </w:pPr>
      <w:bookmarkStart w:id="199" w:name="_Toc3425"/>
      <w:bookmarkStart w:id="200" w:name="_Toc22486"/>
      <w:r>
        <w:rPr>
          <w:rFonts w:hint="eastAsia" w:ascii="宋体" w:hAnsi="宋体"/>
          <w:color w:val="000000"/>
          <w:sz w:val="24"/>
          <w:szCs w:val="24"/>
        </w:rPr>
        <w:t>致：</w:t>
      </w:r>
      <w:r>
        <w:rPr>
          <w:rFonts w:hint="eastAsia" w:ascii="宋体" w:hAnsi="宋体"/>
          <w:color w:val="000000"/>
          <w:sz w:val="24"/>
          <w:szCs w:val="24"/>
          <w:u w:val="single"/>
        </w:rPr>
        <w:t xml:space="preserve">                           </w:t>
      </w:r>
      <w:r>
        <w:rPr>
          <w:rFonts w:hint="eastAsia" w:ascii="宋体" w:hAnsi="宋体"/>
          <w:color w:val="000000"/>
          <w:sz w:val="24"/>
          <w:szCs w:val="24"/>
        </w:rPr>
        <w:t>（比选代理机构名称）：</w:t>
      </w:r>
      <w:bookmarkEnd w:id="199"/>
      <w:bookmarkEnd w:id="200"/>
    </w:p>
    <w:p>
      <w:pPr>
        <w:tabs>
          <w:tab w:val="left" w:pos="6300"/>
        </w:tabs>
        <w:snapToGrid w:val="0"/>
        <w:spacing w:line="500" w:lineRule="exact"/>
        <w:ind w:firstLine="480" w:firstLineChars="200"/>
        <w:outlineLvl w:val="0"/>
        <w:rPr>
          <w:rFonts w:ascii="宋体" w:hAnsi="宋体"/>
          <w:color w:val="000000"/>
          <w:sz w:val="24"/>
          <w:szCs w:val="24"/>
        </w:rPr>
      </w:pPr>
      <w:bookmarkStart w:id="201" w:name="_Toc8651"/>
      <w:bookmarkStart w:id="202" w:name="_Toc13984"/>
      <w:r>
        <w:rPr>
          <w:rFonts w:hint="eastAsia" w:ascii="宋体" w:hAnsi="宋体"/>
          <w:color w:val="000000"/>
          <w:sz w:val="24"/>
          <w:szCs w:val="24"/>
        </w:rPr>
        <w:t>（竞选人名称）郑重声明，我公司具有独立承担民事责任的能力，具有良好的商业信誉和健全的财务会计制度，具有履行合同所必需的设备和专业技术能力，在合同签订前后随时愿意提供相关证明材料；我公司还同时声明参加本项目比选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比选人、比选代理机构的检查验证，我方对以上声明负全部法律责任。</w:t>
      </w:r>
      <w:bookmarkEnd w:id="201"/>
      <w:bookmarkEnd w:id="202"/>
    </w:p>
    <w:p>
      <w:pPr>
        <w:tabs>
          <w:tab w:val="left" w:pos="6300"/>
        </w:tabs>
        <w:snapToGrid w:val="0"/>
        <w:spacing w:line="500" w:lineRule="exact"/>
        <w:ind w:firstLine="480" w:firstLineChars="200"/>
        <w:outlineLvl w:val="0"/>
        <w:rPr>
          <w:rFonts w:ascii="宋体" w:hAnsi="宋体"/>
          <w:color w:val="000000"/>
          <w:sz w:val="24"/>
          <w:szCs w:val="24"/>
        </w:rPr>
      </w:pPr>
      <w:bookmarkStart w:id="203" w:name="_Toc17020"/>
      <w:bookmarkStart w:id="204" w:name="_Toc25202"/>
      <w:r>
        <w:rPr>
          <w:rFonts w:hint="eastAsia" w:ascii="宋体" w:hAnsi="宋体"/>
          <w:color w:val="000000"/>
          <w:sz w:val="24"/>
          <w:szCs w:val="24"/>
        </w:rPr>
        <w:t>特此声明。</w:t>
      </w:r>
      <w:bookmarkEnd w:id="203"/>
      <w:bookmarkEnd w:id="204"/>
    </w:p>
    <w:p>
      <w:pPr>
        <w:tabs>
          <w:tab w:val="left" w:pos="6300"/>
        </w:tabs>
        <w:snapToGrid w:val="0"/>
        <w:spacing w:line="500" w:lineRule="exact"/>
        <w:outlineLvl w:val="0"/>
        <w:rPr>
          <w:rFonts w:ascii="宋体" w:hAnsi="宋体"/>
          <w:color w:val="000000"/>
          <w:sz w:val="24"/>
          <w:szCs w:val="24"/>
        </w:rPr>
      </w:pPr>
    </w:p>
    <w:p>
      <w:pPr>
        <w:tabs>
          <w:tab w:val="left" w:pos="6300"/>
        </w:tabs>
        <w:snapToGrid w:val="0"/>
        <w:spacing w:line="500" w:lineRule="exact"/>
        <w:ind w:firstLine="480" w:firstLineChars="200"/>
        <w:outlineLvl w:val="0"/>
        <w:rPr>
          <w:rFonts w:ascii="宋体" w:hAnsi="宋体"/>
          <w:color w:val="000000"/>
          <w:sz w:val="24"/>
          <w:szCs w:val="24"/>
        </w:rPr>
      </w:pPr>
    </w:p>
    <w:p>
      <w:pPr>
        <w:tabs>
          <w:tab w:val="left" w:pos="6300"/>
        </w:tabs>
        <w:snapToGrid w:val="0"/>
        <w:spacing w:line="500" w:lineRule="exact"/>
        <w:outlineLvl w:val="0"/>
        <w:rPr>
          <w:rFonts w:ascii="宋体" w:hAnsi="宋体"/>
          <w:color w:val="000000"/>
          <w:sz w:val="24"/>
          <w:szCs w:val="24"/>
        </w:rPr>
      </w:pPr>
    </w:p>
    <w:p>
      <w:pPr>
        <w:tabs>
          <w:tab w:val="left" w:pos="6300"/>
        </w:tabs>
        <w:snapToGrid w:val="0"/>
        <w:spacing w:line="500" w:lineRule="exact"/>
        <w:jc w:val="right"/>
        <w:outlineLvl w:val="0"/>
        <w:rPr>
          <w:rFonts w:ascii="宋体" w:hAnsi="宋体"/>
          <w:color w:val="000000"/>
          <w:sz w:val="24"/>
          <w:szCs w:val="24"/>
        </w:rPr>
      </w:pPr>
      <w:bookmarkStart w:id="205" w:name="_Toc5706"/>
      <w:bookmarkStart w:id="206" w:name="_Toc10711"/>
      <w:r>
        <w:rPr>
          <w:rFonts w:hint="eastAsia" w:ascii="宋体" w:hAnsi="宋体"/>
          <w:color w:val="000000"/>
          <w:sz w:val="24"/>
          <w:szCs w:val="24"/>
        </w:rPr>
        <w:t>（竞选人公章）</w:t>
      </w:r>
      <w:bookmarkEnd w:id="205"/>
      <w:bookmarkEnd w:id="206"/>
    </w:p>
    <w:p>
      <w:pPr>
        <w:tabs>
          <w:tab w:val="left" w:pos="6300"/>
        </w:tabs>
        <w:snapToGrid w:val="0"/>
        <w:spacing w:line="480" w:lineRule="exact"/>
        <w:ind w:right="360" w:firstLine="480" w:firstLineChars="200"/>
        <w:jc w:val="right"/>
        <w:rPr>
          <w:rFonts w:ascii="宋体" w:hAnsi="宋体"/>
          <w:color w:val="000000"/>
          <w:sz w:val="24"/>
          <w:szCs w:val="24"/>
        </w:rPr>
      </w:pPr>
      <w:r>
        <w:rPr>
          <w:rFonts w:hint="eastAsia" w:ascii="宋体" w:hAnsi="宋体"/>
          <w:color w:val="000000"/>
          <w:sz w:val="24"/>
          <w:szCs w:val="24"/>
        </w:rPr>
        <w:t>年   月   日</w:t>
      </w:r>
    </w:p>
    <w:p>
      <w:pPr>
        <w:widowControl/>
        <w:jc w:val="left"/>
        <w:rPr>
          <w:rFonts w:ascii="宋体" w:hAnsi="宋体"/>
          <w:color w:val="000000"/>
          <w:sz w:val="24"/>
          <w:szCs w:val="24"/>
        </w:rPr>
      </w:pPr>
      <w:r>
        <w:rPr>
          <w:rFonts w:ascii="宋体" w:hAnsi="宋体"/>
          <w:color w:val="000000"/>
          <w:sz w:val="21"/>
          <w:szCs w:val="21"/>
        </w:rPr>
        <w:br w:type="page"/>
      </w:r>
      <w:r>
        <w:rPr>
          <w:rFonts w:hint="eastAsia" w:ascii="宋体" w:hAnsi="宋体"/>
          <w:color w:val="000000"/>
          <w:sz w:val="24"/>
          <w:szCs w:val="24"/>
        </w:rPr>
        <w:t>（二）其他应提供的资料</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1.保证金交纳凭证复印件</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 xml:space="preserve">2.其他与项目有关的资料（如有，自附。） </w:t>
      </w:r>
    </w:p>
    <w:p>
      <w:pPr>
        <w:spacing w:line="480" w:lineRule="exact"/>
        <w:ind w:firstLine="480" w:firstLineChars="200"/>
        <w:rPr>
          <w:rFonts w:ascii="宋体" w:hAnsi="宋体"/>
          <w:color w:val="000000"/>
          <w:sz w:val="24"/>
          <w:szCs w:val="24"/>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r>
        <w:rPr>
          <w:rFonts w:hint="eastAsia" w:ascii="宋体" w:hAnsi="宋体"/>
          <w:color w:val="000000"/>
          <w:sz w:val="21"/>
          <w:szCs w:val="21"/>
        </w:rPr>
        <w:t>（结束）</w:t>
      </w:r>
    </w:p>
    <w:sectPr>
      <w:headerReference r:id="rId11" w:type="default"/>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t>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4</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15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15</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separate"/>
    </w:r>
    <w:r>
      <w:rPr>
        <w:rStyle w:val="61"/>
      </w:rPr>
      <w:t>3</w: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2"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6.25瀚景新LOGO大图"/>
                  <pic:cNvPicPr>
                    <a:picLocks noChangeAspect="1"/>
                  </pic:cNvPicPr>
                </pic:nvPicPr>
                <pic:blipFill>
                  <a:blip r:embed="rId1"/>
                  <a:stretch>
                    <a:fillRect/>
                  </a:stretch>
                </pic:blipFill>
                <pic:spPr>
                  <a:xfrm>
                    <a:off x="0" y="0"/>
                    <a:ext cx="656590" cy="423545"/>
                  </a:xfrm>
                  <a:prstGeom prst="rect">
                    <a:avLst/>
                  </a:prstGeom>
                </pic:spPr>
              </pic:pic>
            </a:graphicData>
          </a:graphic>
        </wp:anchor>
      </w:drawing>
    </w:r>
    <w:r>
      <w:rPr>
        <w:rFonts w:hint="eastAsia" w:ascii="宋体" w:hAnsi="宋体"/>
        <w:color w:val="000000"/>
        <w:szCs w:val="28"/>
      </w:rPr>
      <w:t>瀚景项目管理有限公司重庆分公司</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-683895</wp:posOffset>
          </wp:positionH>
          <wp:positionV relativeFrom="paragraph">
            <wp:posOffset>-208280</wp:posOffset>
          </wp:positionV>
          <wp:extent cx="656590" cy="423545"/>
          <wp:effectExtent l="0" t="0" r="10160" b="14605"/>
          <wp:wrapNone/>
          <wp:docPr id="1"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6.25瀚景新LOGO大图"/>
                  <pic:cNvPicPr>
                    <a:picLocks noChangeAspect="1"/>
                  </pic:cNvPicPr>
                </pic:nvPicPr>
                <pic:blipFill>
                  <a:blip r:embed="rId1"/>
                  <a:stretch>
                    <a:fillRect/>
                  </a:stretch>
                </pic:blipFill>
                <pic:spPr>
                  <a:xfrm>
                    <a:off x="0" y="0"/>
                    <a:ext cx="656590" cy="423545"/>
                  </a:xfrm>
                  <a:prstGeom prst="rect">
                    <a:avLst/>
                  </a:prstGeom>
                </pic:spPr>
              </pic:pic>
            </a:graphicData>
          </a:graphic>
        </wp:anchor>
      </w:drawing>
    </w:r>
    <w:r>
      <w:rPr>
        <w:rFonts w:hint="eastAsia"/>
        <w:sz w:val="21"/>
        <w:szCs w:val="21"/>
      </w:rPr>
      <w:t xml:space="preserve">瀚景项目管理有限公司重庆分公司 </w:t>
    </w:r>
    <w:r>
      <w:rPr>
        <w:rFonts w:hint="eastAsia" w:ascii="宋体" w:hAnsi="宋体"/>
        <w:sz w:val="21"/>
        <w:szCs w:val="21"/>
      </w:rPr>
      <w:t xml:space="preserve">                                     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szCs w:val="18"/>
      </w:rPr>
    </w:pPr>
    <w:r>
      <w:rPr>
        <w:rFonts w:hint="eastAsia"/>
        <w:sz w:val="21"/>
        <w:szCs w:val="21"/>
      </w:rPr>
      <w:drawing>
        <wp:anchor distT="0" distB="0" distL="114300" distR="114300" simplePos="0" relativeHeight="251665408" behindDoc="0" locked="0" layoutInCell="1" allowOverlap="1">
          <wp:simplePos x="0" y="0"/>
          <wp:positionH relativeFrom="column">
            <wp:posOffset>-666750</wp:posOffset>
          </wp:positionH>
          <wp:positionV relativeFrom="paragraph">
            <wp:posOffset>-119380</wp:posOffset>
          </wp:positionV>
          <wp:extent cx="656590" cy="423545"/>
          <wp:effectExtent l="0" t="0" r="10160" b="14605"/>
          <wp:wrapNone/>
          <wp:docPr id="5" name="图片 5"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8.6.25瀚景新LOGO大图"/>
                  <pic:cNvPicPr>
                    <a:picLocks noChangeAspect="1"/>
                  </pic:cNvPicPr>
                </pic:nvPicPr>
                <pic:blipFill>
                  <a:blip r:embed="rId1"/>
                  <a:stretch>
                    <a:fillRect/>
                  </a:stretch>
                </pic:blipFill>
                <pic:spPr>
                  <a:xfrm>
                    <a:off x="0" y="0"/>
                    <a:ext cx="656590" cy="423545"/>
                  </a:xfrm>
                  <a:prstGeom prst="rect">
                    <a:avLst/>
                  </a:prstGeom>
                </pic:spPr>
              </pic:pic>
            </a:graphicData>
          </a:graphic>
        </wp:anchor>
      </w:drawing>
    </w:r>
    <w:r>
      <w:rPr>
        <w:rFonts w:hint="eastAsia"/>
        <w:sz w:val="21"/>
        <w:szCs w:val="21"/>
      </w:rPr>
      <w:t xml:space="preserve">瀚景项目管理有限公司重庆分公司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7FA60"/>
    <w:multiLevelType w:val="singleLevel"/>
    <w:tmpl w:val="BBD7FA60"/>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65A897CE"/>
    <w:multiLevelType w:val="singleLevel"/>
    <w:tmpl w:val="65A897CE"/>
    <w:lvl w:ilvl="0" w:tentative="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5DE4"/>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3D20"/>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90398"/>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D76BA"/>
    <w:rsid w:val="001E3B80"/>
    <w:rsid w:val="001E4E17"/>
    <w:rsid w:val="001E5CAC"/>
    <w:rsid w:val="001E669C"/>
    <w:rsid w:val="001E725F"/>
    <w:rsid w:val="001F1AF7"/>
    <w:rsid w:val="001F3561"/>
    <w:rsid w:val="001F3FA5"/>
    <w:rsid w:val="001F4814"/>
    <w:rsid w:val="001F4964"/>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1BF8"/>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20DA"/>
    <w:rsid w:val="003342C4"/>
    <w:rsid w:val="00341DEB"/>
    <w:rsid w:val="0034383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5D07"/>
    <w:rsid w:val="003973D3"/>
    <w:rsid w:val="003A0892"/>
    <w:rsid w:val="003A3268"/>
    <w:rsid w:val="003A38D2"/>
    <w:rsid w:val="003A449E"/>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1ED4"/>
    <w:rsid w:val="003F2C37"/>
    <w:rsid w:val="003F3821"/>
    <w:rsid w:val="003F3EB8"/>
    <w:rsid w:val="003F4656"/>
    <w:rsid w:val="003F4F05"/>
    <w:rsid w:val="003F58D5"/>
    <w:rsid w:val="003F6348"/>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3DA3"/>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0F4A"/>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4792"/>
    <w:rsid w:val="00875A42"/>
    <w:rsid w:val="008767A3"/>
    <w:rsid w:val="00876DB5"/>
    <w:rsid w:val="00881AFA"/>
    <w:rsid w:val="008822D3"/>
    <w:rsid w:val="008825BA"/>
    <w:rsid w:val="0088418B"/>
    <w:rsid w:val="008841F2"/>
    <w:rsid w:val="0088447A"/>
    <w:rsid w:val="00885084"/>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46B5"/>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6195"/>
    <w:rsid w:val="00980037"/>
    <w:rsid w:val="009810AB"/>
    <w:rsid w:val="00983B43"/>
    <w:rsid w:val="009840EA"/>
    <w:rsid w:val="009862E6"/>
    <w:rsid w:val="00986D0A"/>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394"/>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A5CDB"/>
    <w:rsid w:val="00AB00EE"/>
    <w:rsid w:val="00AB0FA7"/>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7D61"/>
    <w:rsid w:val="00B109B4"/>
    <w:rsid w:val="00B11E3D"/>
    <w:rsid w:val="00B13192"/>
    <w:rsid w:val="00B13480"/>
    <w:rsid w:val="00B14C52"/>
    <w:rsid w:val="00B1621A"/>
    <w:rsid w:val="00B170A4"/>
    <w:rsid w:val="00B200AA"/>
    <w:rsid w:val="00B217E7"/>
    <w:rsid w:val="00B22E24"/>
    <w:rsid w:val="00B25FED"/>
    <w:rsid w:val="00B26423"/>
    <w:rsid w:val="00B26EE8"/>
    <w:rsid w:val="00B278D6"/>
    <w:rsid w:val="00B310F6"/>
    <w:rsid w:val="00B31E79"/>
    <w:rsid w:val="00B3240D"/>
    <w:rsid w:val="00B33CC7"/>
    <w:rsid w:val="00B35068"/>
    <w:rsid w:val="00B3571F"/>
    <w:rsid w:val="00B37691"/>
    <w:rsid w:val="00B406C3"/>
    <w:rsid w:val="00B4157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03BA"/>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43"/>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5BAA"/>
    <w:rsid w:val="00D05FD7"/>
    <w:rsid w:val="00D06755"/>
    <w:rsid w:val="00D06825"/>
    <w:rsid w:val="00D10469"/>
    <w:rsid w:val="00D132C7"/>
    <w:rsid w:val="00D13329"/>
    <w:rsid w:val="00D13B7A"/>
    <w:rsid w:val="00D1594B"/>
    <w:rsid w:val="00D15AB1"/>
    <w:rsid w:val="00D1709E"/>
    <w:rsid w:val="00D21257"/>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5E0"/>
    <w:rsid w:val="00D748DF"/>
    <w:rsid w:val="00D7538B"/>
    <w:rsid w:val="00D76AA3"/>
    <w:rsid w:val="00D80604"/>
    <w:rsid w:val="00D85A7D"/>
    <w:rsid w:val="00D90830"/>
    <w:rsid w:val="00D91C0D"/>
    <w:rsid w:val="00D927C3"/>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60D"/>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32B9"/>
    <w:rsid w:val="00F9483C"/>
    <w:rsid w:val="00F95676"/>
    <w:rsid w:val="00F95721"/>
    <w:rsid w:val="00F959BB"/>
    <w:rsid w:val="00F95F63"/>
    <w:rsid w:val="00F96E79"/>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164354"/>
    <w:rsid w:val="017A1C16"/>
    <w:rsid w:val="01807C5E"/>
    <w:rsid w:val="01A5040F"/>
    <w:rsid w:val="01D43EEB"/>
    <w:rsid w:val="02421678"/>
    <w:rsid w:val="024D02DF"/>
    <w:rsid w:val="02822399"/>
    <w:rsid w:val="02A23F4D"/>
    <w:rsid w:val="02AF283F"/>
    <w:rsid w:val="02C305A2"/>
    <w:rsid w:val="032F17F8"/>
    <w:rsid w:val="033B4CB2"/>
    <w:rsid w:val="03630E18"/>
    <w:rsid w:val="038F7784"/>
    <w:rsid w:val="03944745"/>
    <w:rsid w:val="03C437D1"/>
    <w:rsid w:val="03E36090"/>
    <w:rsid w:val="04755359"/>
    <w:rsid w:val="047667D3"/>
    <w:rsid w:val="049429CC"/>
    <w:rsid w:val="04C0500C"/>
    <w:rsid w:val="04CD1B34"/>
    <w:rsid w:val="0501545F"/>
    <w:rsid w:val="050215AD"/>
    <w:rsid w:val="050B7DE6"/>
    <w:rsid w:val="056722EE"/>
    <w:rsid w:val="05815FE6"/>
    <w:rsid w:val="05A760F4"/>
    <w:rsid w:val="05AA497D"/>
    <w:rsid w:val="05C339B5"/>
    <w:rsid w:val="0624609C"/>
    <w:rsid w:val="062B2D27"/>
    <w:rsid w:val="069906AB"/>
    <w:rsid w:val="06B52A34"/>
    <w:rsid w:val="06C30DAF"/>
    <w:rsid w:val="076120D2"/>
    <w:rsid w:val="08117553"/>
    <w:rsid w:val="081F41A5"/>
    <w:rsid w:val="083166B8"/>
    <w:rsid w:val="0842473D"/>
    <w:rsid w:val="08474F44"/>
    <w:rsid w:val="087575A7"/>
    <w:rsid w:val="08B939E8"/>
    <w:rsid w:val="08CA5E3D"/>
    <w:rsid w:val="08F55396"/>
    <w:rsid w:val="092645E3"/>
    <w:rsid w:val="097D4960"/>
    <w:rsid w:val="09997799"/>
    <w:rsid w:val="09B024FC"/>
    <w:rsid w:val="09BB4FDC"/>
    <w:rsid w:val="09BB6A1A"/>
    <w:rsid w:val="0A0900FF"/>
    <w:rsid w:val="0A0D66CD"/>
    <w:rsid w:val="0A1F49DE"/>
    <w:rsid w:val="0A313645"/>
    <w:rsid w:val="0A8D094C"/>
    <w:rsid w:val="0AEB6AB5"/>
    <w:rsid w:val="0AFC10AA"/>
    <w:rsid w:val="0B8C7102"/>
    <w:rsid w:val="0B903FB2"/>
    <w:rsid w:val="0C257EEE"/>
    <w:rsid w:val="0C4B53B2"/>
    <w:rsid w:val="0C4E5663"/>
    <w:rsid w:val="0C57251C"/>
    <w:rsid w:val="0C674FB5"/>
    <w:rsid w:val="0C744411"/>
    <w:rsid w:val="0C8D48A9"/>
    <w:rsid w:val="0C9E7DEC"/>
    <w:rsid w:val="0CB15A73"/>
    <w:rsid w:val="0D1D4F5B"/>
    <w:rsid w:val="0D654093"/>
    <w:rsid w:val="0D7541A4"/>
    <w:rsid w:val="0D7E5BD5"/>
    <w:rsid w:val="0E016A62"/>
    <w:rsid w:val="0E1E0A98"/>
    <w:rsid w:val="0E5C32A1"/>
    <w:rsid w:val="0ED70EDA"/>
    <w:rsid w:val="0F057059"/>
    <w:rsid w:val="0F336C48"/>
    <w:rsid w:val="0F347DE4"/>
    <w:rsid w:val="0F395784"/>
    <w:rsid w:val="0F3E3FD8"/>
    <w:rsid w:val="0FA2001A"/>
    <w:rsid w:val="10122C27"/>
    <w:rsid w:val="1015263D"/>
    <w:rsid w:val="104C3BBA"/>
    <w:rsid w:val="10C1650D"/>
    <w:rsid w:val="10CB5EB3"/>
    <w:rsid w:val="10F63EA9"/>
    <w:rsid w:val="10FB2F27"/>
    <w:rsid w:val="116D3A58"/>
    <w:rsid w:val="117C2C1F"/>
    <w:rsid w:val="118320E5"/>
    <w:rsid w:val="11BE69AD"/>
    <w:rsid w:val="11D04BF9"/>
    <w:rsid w:val="11D349A1"/>
    <w:rsid w:val="11E26360"/>
    <w:rsid w:val="12314A32"/>
    <w:rsid w:val="12614D01"/>
    <w:rsid w:val="12A60D0F"/>
    <w:rsid w:val="12AE585A"/>
    <w:rsid w:val="12C11404"/>
    <w:rsid w:val="12F00D73"/>
    <w:rsid w:val="132D65CE"/>
    <w:rsid w:val="13666AA1"/>
    <w:rsid w:val="13F83F60"/>
    <w:rsid w:val="14491037"/>
    <w:rsid w:val="149D4B89"/>
    <w:rsid w:val="14AC3D10"/>
    <w:rsid w:val="14B65B9A"/>
    <w:rsid w:val="150B0C5E"/>
    <w:rsid w:val="15143A35"/>
    <w:rsid w:val="15253077"/>
    <w:rsid w:val="153B1975"/>
    <w:rsid w:val="1561661E"/>
    <w:rsid w:val="15892C8F"/>
    <w:rsid w:val="15A24325"/>
    <w:rsid w:val="15A436D8"/>
    <w:rsid w:val="15F248F6"/>
    <w:rsid w:val="15FA3F6E"/>
    <w:rsid w:val="162B6690"/>
    <w:rsid w:val="165846F4"/>
    <w:rsid w:val="1690435D"/>
    <w:rsid w:val="169D194D"/>
    <w:rsid w:val="16C66E51"/>
    <w:rsid w:val="16D466EC"/>
    <w:rsid w:val="16D84473"/>
    <w:rsid w:val="16EA110D"/>
    <w:rsid w:val="16F16555"/>
    <w:rsid w:val="170074DF"/>
    <w:rsid w:val="17104390"/>
    <w:rsid w:val="175962DA"/>
    <w:rsid w:val="1784019A"/>
    <w:rsid w:val="18141BCC"/>
    <w:rsid w:val="18302BB2"/>
    <w:rsid w:val="18561885"/>
    <w:rsid w:val="18B77B36"/>
    <w:rsid w:val="18BC04AE"/>
    <w:rsid w:val="18CF5E88"/>
    <w:rsid w:val="18E13B76"/>
    <w:rsid w:val="18F66476"/>
    <w:rsid w:val="18FF10E6"/>
    <w:rsid w:val="1902658E"/>
    <w:rsid w:val="19A4603F"/>
    <w:rsid w:val="19C924AF"/>
    <w:rsid w:val="1A4D2582"/>
    <w:rsid w:val="1A57335E"/>
    <w:rsid w:val="1A5B7BDE"/>
    <w:rsid w:val="1A68592C"/>
    <w:rsid w:val="1A790138"/>
    <w:rsid w:val="1AFF5905"/>
    <w:rsid w:val="1B501F59"/>
    <w:rsid w:val="1BFB0944"/>
    <w:rsid w:val="1C0818B6"/>
    <w:rsid w:val="1C166547"/>
    <w:rsid w:val="1C787915"/>
    <w:rsid w:val="1C7A47E3"/>
    <w:rsid w:val="1C7C0AD3"/>
    <w:rsid w:val="1C9B28C7"/>
    <w:rsid w:val="1CD043FE"/>
    <w:rsid w:val="1CED00C7"/>
    <w:rsid w:val="1D071EEE"/>
    <w:rsid w:val="1D2A4FCC"/>
    <w:rsid w:val="1D3D42A2"/>
    <w:rsid w:val="1D8D536F"/>
    <w:rsid w:val="1DCF79B1"/>
    <w:rsid w:val="1DE15A99"/>
    <w:rsid w:val="1DEA6DA4"/>
    <w:rsid w:val="1E1E46CE"/>
    <w:rsid w:val="1E341256"/>
    <w:rsid w:val="1E3A6FCA"/>
    <w:rsid w:val="1E531F63"/>
    <w:rsid w:val="1E6A218D"/>
    <w:rsid w:val="1E8E5CE9"/>
    <w:rsid w:val="1EC31478"/>
    <w:rsid w:val="1EE03B2A"/>
    <w:rsid w:val="1F086E47"/>
    <w:rsid w:val="1F2C7859"/>
    <w:rsid w:val="1F377074"/>
    <w:rsid w:val="1F4A3464"/>
    <w:rsid w:val="1FA83A62"/>
    <w:rsid w:val="1FB16C12"/>
    <w:rsid w:val="1FC650B0"/>
    <w:rsid w:val="1FF22525"/>
    <w:rsid w:val="20217AD1"/>
    <w:rsid w:val="20245894"/>
    <w:rsid w:val="2040570D"/>
    <w:rsid w:val="2068200C"/>
    <w:rsid w:val="20852A78"/>
    <w:rsid w:val="2096175D"/>
    <w:rsid w:val="20A94A18"/>
    <w:rsid w:val="20E811C3"/>
    <w:rsid w:val="21166C51"/>
    <w:rsid w:val="2150290C"/>
    <w:rsid w:val="21683856"/>
    <w:rsid w:val="21C64BD7"/>
    <w:rsid w:val="2251786A"/>
    <w:rsid w:val="22777AEC"/>
    <w:rsid w:val="22FC699C"/>
    <w:rsid w:val="231F3BCF"/>
    <w:rsid w:val="236476D2"/>
    <w:rsid w:val="236D07DB"/>
    <w:rsid w:val="238070EC"/>
    <w:rsid w:val="23952658"/>
    <w:rsid w:val="23FF41ED"/>
    <w:rsid w:val="245C0C2E"/>
    <w:rsid w:val="245D7F81"/>
    <w:rsid w:val="247C0763"/>
    <w:rsid w:val="24971009"/>
    <w:rsid w:val="255A4E2F"/>
    <w:rsid w:val="25A04FD1"/>
    <w:rsid w:val="25A320BB"/>
    <w:rsid w:val="25EE6F62"/>
    <w:rsid w:val="2627653C"/>
    <w:rsid w:val="26420D16"/>
    <w:rsid w:val="264E63BE"/>
    <w:rsid w:val="266256DE"/>
    <w:rsid w:val="26B412BF"/>
    <w:rsid w:val="26B55617"/>
    <w:rsid w:val="27165905"/>
    <w:rsid w:val="272251CB"/>
    <w:rsid w:val="272E0B2A"/>
    <w:rsid w:val="27451CD3"/>
    <w:rsid w:val="27BF2DF2"/>
    <w:rsid w:val="27DA50A9"/>
    <w:rsid w:val="27F462A4"/>
    <w:rsid w:val="283B44C5"/>
    <w:rsid w:val="2861366E"/>
    <w:rsid w:val="289F4F9A"/>
    <w:rsid w:val="28E41ED5"/>
    <w:rsid w:val="29082553"/>
    <w:rsid w:val="29222722"/>
    <w:rsid w:val="29266DF8"/>
    <w:rsid w:val="2957319F"/>
    <w:rsid w:val="298F26BA"/>
    <w:rsid w:val="29985BED"/>
    <w:rsid w:val="299A232D"/>
    <w:rsid w:val="29A9191E"/>
    <w:rsid w:val="29D57505"/>
    <w:rsid w:val="29F345BD"/>
    <w:rsid w:val="29F96B93"/>
    <w:rsid w:val="2A00631E"/>
    <w:rsid w:val="2A1F18C1"/>
    <w:rsid w:val="2A3E36F8"/>
    <w:rsid w:val="2A42403A"/>
    <w:rsid w:val="2A772C20"/>
    <w:rsid w:val="2AED6FCE"/>
    <w:rsid w:val="2B530F2E"/>
    <w:rsid w:val="2B7645AC"/>
    <w:rsid w:val="2B854D14"/>
    <w:rsid w:val="2B9E7907"/>
    <w:rsid w:val="2BA36D9B"/>
    <w:rsid w:val="2BD458AF"/>
    <w:rsid w:val="2BF55156"/>
    <w:rsid w:val="2C383AF6"/>
    <w:rsid w:val="2C51530D"/>
    <w:rsid w:val="2C6466A8"/>
    <w:rsid w:val="2C8A0A03"/>
    <w:rsid w:val="2CBA22AB"/>
    <w:rsid w:val="2CE62427"/>
    <w:rsid w:val="2CE82D31"/>
    <w:rsid w:val="2CF42025"/>
    <w:rsid w:val="2CF47F91"/>
    <w:rsid w:val="2D3167E3"/>
    <w:rsid w:val="2D6F70CA"/>
    <w:rsid w:val="2D9B7431"/>
    <w:rsid w:val="2DB55950"/>
    <w:rsid w:val="2DDC6B7B"/>
    <w:rsid w:val="2DF445C0"/>
    <w:rsid w:val="2E1A280F"/>
    <w:rsid w:val="2E3A6924"/>
    <w:rsid w:val="2E43345B"/>
    <w:rsid w:val="2EA57148"/>
    <w:rsid w:val="2EBC2803"/>
    <w:rsid w:val="2EE34A08"/>
    <w:rsid w:val="2F415BA4"/>
    <w:rsid w:val="2F5B67BD"/>
    <w:rsid w:val="2FA10772"/>
    <w:rsid w:val="2FA81DD3"/>
    <w:rsid w:val="2FF90BD4"/>
    <w:rsid w:val="30150300"/>
    <w:rsid w:val="306104A7"/>
    <w:rsid w:val="30BA3688"/>
    <w:rsid w:val="30E973DC"/>
    <w:rsid w:val="30F31296"/>
    <w:rsid w:val="31305C32"/>
    <w:rsid w:val="319B61FB"/>
    <w:rsid w:val="31AC0D6D"/>
    <w:rsid w:val="31BC04FD"/>
    <w:rsid w:val="31C90005"/>
    <w:rsid w:val="31F110A8"/>
    <w:rsid w:val="32840EB9"/>
    <w:rsid w:val="3289142B"/>
    <w:rsid w:val="329448EE"/>
    <w:rsid w:val="329D1436"/>
    <w:rsid w:val="32AA081D"/>
    <w:rsid w:val="331B4A66"/>
    <w:rsid w:val="331E6DF7"/>
    <w:rsid w:val="33230DD3"/>
    <w:rsid w:val="33797D65"/>
    <w:rsid w:val="33921053"/>
    <w:rsid w:val="33EA68DE"/>
    <w:rsid w:val="33FC7D66"/>
    <w:rsid w:val="3410568B"/>
    <w:rsid w:val="34786120"/>
    <w:rsid w:val="348955FE"/>
    <w:rsid w:val="34A03094"/>
    <w:rsid w:val="3566164A"/>
    <w:rsid w:val="359F1EB5"/>
    <w:rsid w:val="35B463D8"/>
    <w:rsid w:val="35ED3317"/>
    <w:rsid w:val="3636459D"/>
    <w:rsid w:val="36510160"/>
    <w:rsid w:val="36D423FE"/>
    <w:rsid w:val="36F42F1D"/>
    <w:rsid w:val="37003393"/>
    <w:rsid w:val="371158E2"/>
    <w:rsid w:val="37867ABD"/>
    <w:rsid w:val="385D4936"/>
    <w:rsid w:val="389967B4"/>
    <w:rsid w:val="38D544A3"/>
    <w:rsid w:val="38D936FC"/>
    <w:rsid w:val="39461010"/>
    <w:rsid w:val="398B3028"/>
    <w:rsid w:val="39A80E07"/>
    <w:rsid w:val="39BE04FE"/>
    <w:rsid w:val="39E150FE"/>
    <w:rsid w:val="3A06070D"/>
    <w:rsid w:val="3A465341"/>
    <w:rsid w:val="3A4F3CC0"/>
    <w:rsid w:val="3A5242A0"/>
    <w:rsid w:val="3A760D15"/>
    <w:rsid w:val="3A843FB5"/>
    <w:rsid w:val="3AE55C2D"/>
    <w:rsid w:val="3B176A38"/>
    <w:rsid w:val="3B297007"/>
    <w:rsid w:val="3B380D28"/>
    <w:rsid w:val="3B46201B"/>
    <w:rsid w:val="3B5216F9"/>
    <w:rsid w:val="3B7B38C4"/>
    <w:rsid w:val="3BD70252"/>
    <w:rsid w:val="3BE66140"/>
    <w:rsid w:val="3BED2622"/>
    <w:rsid w:val="3C60740D"/>
    <w:rsid w:val="3C8379C6"/>
    <w:rsid w:val="3CEC4060"/>
    <w:rsid w:val="3CF04984"/>
    <w:rsid w:val="3D161EDC"/>
    <w:rsid w:val="3D1C40C8"/>
    <w:rsid w:val="3D577CDA"/>
    <w:rsid w:val="3D7E72AF"/>
    <w:rsid w:val="3D9E5B13"/>
    <w:rsid w:val="3DA20FFC"/>
    <w:rsid w:val="3DC37A8D"/>
    <w:rsid w:val="3DD6485D"/>
    <w:rsid w:val="3DE70B1F"/>
    <w:rsid w:val="3DEA6E8A"/>
    <w:rsid w:val="3E382E5E"/>
    <w:rsid w:val="3E5B40F1"/>
    <w:rsid w:val="3EC21D5A"/>
    <w:rsid w:val="3ED21D4B"/>
    <w:rsid w:val="3EE338B4"/>
    <w:rsid w:val="3F056233"/>
    <w:rsid w:val="3F44038B"/>
    <w:rsid w:val="3F4B698A"/>
    <w:rsid w:val="3FB1408C"/>
    <w:rsid w:val="3FBF0B5B"/>
    <w:rsid w:val="3FD30D6A"/>
    <w:rsid w:val="3FE3117F"/>
    <w:rsid w:val="402279B5"/>
    <w:rsid w:val="404C0511"/>
    <w:rsid w:val="405C40A1"/>
    <w:rsid w:val="406865D7"/>
    <w:rsid w:val="40A20794"/>
    <w:rsid w:val="40E62913"/>
    <w:rsid w:val="41441BB0"/>
    <w:rsid w:val="41917B0E"/>
    <w:rsid w:val="42262DB3"/>
    <w:rsid w:val="422A52D4"/>
    <w:rsid w:val="427822D7"/>
    <w:rsid w:val="42DC7BE0"/>
    <w:rsid w:val="42E86BCE"/>
    <w:rsid w:val="42F27096"/>
    <w:rsid w:val="42FF7AF1"/>
    <w:rsid w:val="430953B1"/>
    <w:rsid w:val="43722208"/>
    <w:rsid w:val="43C604DF"/>
    <w:rsid w:val="441E6B9F"/>
    <w:rsid w:val="446E34AC"/>
    <w:rsid w:val="447E22FB"/>
    <w:rsid w:val="44A8789A"/>
    <w:rsid w:val="44C01191"/>
    <w:rsid w:val="44E32F71"/>
    <w:rsid w:val="44EB4848"/>
    <w:rsid w:val="4586428B"/>
    <w:rsid w:val="458C6480"/>
    <w:rsid w:val="45961F0D"/>
    <w:rsid w:val="45AC3594"/>
    <w:rsid w:val="45BD69DB"/>
    <w:rsid w:val="45E322D4"/>
    <w:rsid w:val="45FE4003"/>
    <w:rsid w:val="4653562D"/>
    <w:rsid w:val="46547176"/>
    <w:rsid w:val="47274390"/>
    <w:rsid w:val="47347B27"/>
    <w:rsid w:val="473642AE"/>
    <w:rsid w:val="474315F8"/>
    <w:rsid w:val="478168FA"/>
    <w:rsid w:val="47825A61"/>
    <w:rsid w:val="478953EA"/>
    <w:rsid w:val="47E33949"/>
    <w:rsid w:val="483E20BF"/>
    <w:rsid w:val="48A0459F"/>
    <w:rsid w:val="48D16DC1"/>
    <w:rsid w:val="492126FF"/>
    <w:rsid w:val="494D556A"/>
    <w:rsid w:val="495524CD"/>
    <w:rsid w:val="499E02CE"/>
    <w:rsid w:val="499F2BAA"/>
    <w:rsid w:val="49AF6A9E"/>
    <w:rsid w:val="49D742D1"/>
    <w:rsid w:val="4A0163AE"/>
    <w:rsid w:val="4A6A7886"/>
    <w:rsid w:val="4A887C26"/>
    <w:rsid w:val="4ACE2DC6"/>
    <w:rsid w:val="4AD73BD2"/>
    <w:rsid w:val="4AFC11E5"/>
    <w:rsid w:val="4B486DD1"/>
    <w:rsid w:val="4B493AA4"/>
    <w:rsid w:val="4B637EFA"/>
    <w:rsid w:val="4B7E6C26"/>
    <w:rsid w:val="4B89352B"/>
    <w:rsid w:val="4BDA2E5D"/>
    <w:rsid w:val="4BF629B9"/>
    <w:rsid w:val="4C0C0132"/>
    <w:rsid w:val="4C0E26AD"/>
    <w:rsid w:val="4C287E0A"/>
    <w:rsid w:val="4C4A78FD"/>
    <w:rsid w:val="4C811439"/>
    <w:rsid w:val="4C8E6D26"/>
    <w:rsid w:val="4CDE2D20"/>
    <w:rsid w:val="4CF21A90"/>
    <w:rsid w:val="4CFF1EE0"/>
    <w:rsid w:val="4D140805"/>
    <w:rsid w:val="4D202DF7"/>
    <w:rsid w:val="4E051CC4"/>
    <w:rsid w:val="4E86420B"/>
    <w:rsid w:val="4EE40814"/>
    <w:rsid w:val="4EEF69C6"/>
    <w:rsid w:val="4F626053"/>
    <w:rsid w:val="4F687866"/>
    <w:rsid w:val="4FAF3987"/>
    <w:rsid w:val="4FCC01B7"/>
    <w:rsid w:val="4FF41D40"/>
    <w:rsid w:val="501A0CA4"/>
    <w:rsid w:val="504A6570"/>
    <w:rsid w:val="50BA48B8"/>
    <w:rsid w:val="50C83AD7"/>
    <w:rsid w:val="51070E92"/>
    <w:rsid w:val="51115A4E"/>
    <w:rsid w:val="51583333"/>
    <w:rsid w:val="51B7167C"/>
    <w:rsid w:val="51B81B3E"/>
    <w:rsid w:val="51CD2984"/>
    <w:rsid w:val="51D63121"/>
    <w:rsid w:val="51DE5395"/>
    <w:rsid w:val="520235DA"/>
    <w:rsid w:val="52187699"/>
    <w:rsid w:val="52682E34"/>
    <w:rsid w:val="52C73CD3"/>
    <w:rsid w:val="52F90194"/>
    <w:rsid w:val="52FD15A0"/>
    <w:rsid w:val="53586729"/>
    <w:rsid w:val="539378D7"/>
    <w:rsid w:val="53B234B3"/>
    <w:rsid w:val="54070DC3"/>
    <w:rsid w:val="545F2FD2"/>
    <w:rsid w:val="548857C1"/>
    <w:rsid w:val="549175F1"/>
    <w:rsid w:val="54C97DA6"/>
    <w:rsid w:val="54DE6876"/>
    <w:rsid w:val="54F41F52"/>
    <w:rsid w:val="5551140A"/>
    <w:rsid w:val="55793EB8"/>
    <w:rsid w:val="559A1658"/>
    <w:rsid w:val="560B723C"/>
    <w:rsid w:val="560C5C4A"/>
    <w:rsid w:val="561E6D8D"/>
    <w:rsid w:val="562B79B1"/>
    <w:rsid w:val="562F1DF3"/>
    <w:rsid w:val="5680124F"/>
    <w:rsid w:val="568E0AE9"/>
    <w:rsid w:val="57254844"/>
    <w:rsid w:val="57275200"/>
    <w:rsid w:val="579C2046"/>
    <w:rsid w:val="57A67CCA"/>
    <w:rsid w:val="57C71E01"/>
    <w:rsid w:val="57CA373F"/>
    <w:rsid w:val="57CB49DF"/>
    <w:rsid w:val="5808507B"/>
    <w:rsid w:val="58736B91"/>
    <w:rsid w:val="593E27EC"/>
    <w:rsid w:val="59882E47"/>
    <w:rsid w:val="59B61115"/>
    <w:rsid w:val="59D00CDE"/>
    <w:rsid w:val="5A5D12A5"/>
    <w:rsid w:val="5A6914A3"/>
    <w:rsid w:val="5ADC2B4A"/>
    <w:rsid w:val="5AF53912"/>
    <w:rsid w:val="5B1870EC"/>
    <w:rsid w:val="5B192801"/>
    <w:rsid w:val="5B3B5A39"/>
    <w:rsid w:val="5B572266"/>
    <w:rsid w:val="5B6E0B56"/>
    <w:rsid w:val="5B8E08FB"/>
    <w:rsid w:val="5BE72BCB"/>
    <w:rsid w:val="5BE86CA9"/>
    <w:rsid w:val="5C022C28"/>
    <w:rsid w:val="5C6A3089"/>
    <w:rsid w:val="5C8F63E0"/>
    <w:rsid w:val="5C921024"/>
    <w:rsid w:val="5C9E4A70"/>
    <w:rsid w:val="5CA40419"/>
    <w:rsid w:val="5CBE1D78"/>
    <w:rsid w:val="5CD0051A"/>
    <w:rsid w:val="5CD13198"/>
    <w:rsid w:val="5D1253B0"/>
    <w:rsid w:val="5D364064"/>
    <w:rsid w:val="5E633F23"/>
    <w:rsid w:val="5E6372AC"/>
    <w:rsid w:val="5EA84C76"/>
    <w:rsid w:val="5EDA714B"/>
    <w:rsid w:val="5EE23C31"/>
    <w:rsid w:val="5FBA6F97"/>
    <w:rsid w:val="5FF802BF"/>
    <w:rsid w:val="60CF6667"/>
    <w:rsid w:val="60D026C4"/>
    <w:rsid w:val="610A58B6"/>
    <w:rsid w:val="61306DE3"/>
    <w:rsid w:val="614E6A25"/>
    <w:rsid w:val="61532F70"/>
    <w:rsid w:val="615947F1"/>
    <w:rsid w:val="61603A57"/>
    <w:rsid w:val="6164184E"/>
    <w:rsid w:val="61AE51E1"/>
    <w:rsid w:val="61C01273"/>
    <w:rsid w:val="61DD5B25"/>
    <w:rsid w:val="622D5CB6"/>
    <w:rsid w:val="62715919"/>
    <w:rsid w:val="62CF018A"/>
    <w:rsid w:val="62D93B11"/>
    <w:rsid w:val="62EE2C2F"/>
    <w:rsid w:val="632913B5"/>
    <w:rsid w:val="63551221"/>
    <w:rsid w:val="63615F7B"/>
    <w:rsid w:val="63FD3087"/>
    <w:rsid w:val="64400BFE"/>
    <w:rsid w:val="646A3422"/>
    <w:rsid w:val="64743521"/>
    <w:rsid w:val="64895199"/>
    <w:rsid w:val="64B140B4"/>
    <w:rsid w:val="64B36D3B"/>
    <w:rsid w:val="64BE06BA"/>
    <w:rsid w:val="64BF55EE"/>
    <w:rsid w:val="64CF72CF"/>
    <w:rsid w:val="64D52BFF"/>
    <w:rsid w:val="6515330B"/>
    <w:rsid w:val="65385003"/>
    <w:rsid w:val="6556307B"/>
    <w:rsid w:val="65824575"/>
    <w:rsid w:val="65EB578D"/>
    <w:rsid w:val="660374D4"/>
    <w:rsid w:val="663D72DA"/>
    <w:rsid w:val="668A63E9"/>
    <w:rsid w:val="66C14BC9"/>
    <w:rsid w:val="67494348"/>
    <w:rsid w:val="674D75BE"/>
    <w:rsid w:val="676B6C70"/>
    <w:rsid w:val="67B70979"/>
    <w:rsid w:val="67DD5C5B"/>
    <w:rsid w:val="67EC77F8"/>
    <w:rsid w:val="689F3E08"/>
    <w:rsid w:val="69186C08"/>
    <w:rsid w:val="693A7C21"/>
    <w:rsid w:val="69544E31"/>
    <w:rsid w:val="6970589C"/>
    <w:rsid w:val="69BA157C"/>
    <w:rsid w:val="69DF0C0E"/>
    <w:rsid w:val="6A372AC2"/>
    <w:rsid w:val="6A614797"/>
    <w:rsid w:val="6A656E80"/>
    <w:rsid w:val="6AEA0C55"/>
    <w:rsid w:val="6AEB25E4"/>
    <w:rsid w:val="6BB04D02"/>
    <w:rsid w:val="6BC4644F"/>
    <w:rsid w:val="6BC752C3"/>
    <w:rsid w:val="6C110A9B"/>
    <w:rsid w:val="6C3213EB"/>
    <w:rsid w:val="6C3A3D2B"/>
    <w:rsid w:val="6C977017"/>
    <w:rsid w:val="6CE432DD"/>
    <w:rsid w:val="6CF62E47"/>
    <w:rsid w:val="6D0B5DFC"/>
    <w:rsid w:val="6D1C5331"/>
    <w:rsid w:val="6D29066A"/>
    <w:rsid w:val="6DA62097"/>
    <w:rsid w:val="6DAD5CAE"/>
    <w:rsid w:val="6DC23474"/>
    <w:rsid w:val="6DD011A0"/>
    <w:rsid w:val="6E427AD0"/>
    <w:rsid w:val="6E4E02B2"/>
    <w:rsid w:val="6E592728"/>
    <w:rsid w:val="6ED56E60"/>
    <w:rsid w:val="6EDB79D0"/>
    <w:rsid w:val="6EE51EE4"/>
    <w:rsid w:val="6EEC7AB2"/>
    <w:rsid w:val="6F437133"/>
    <w:rsid w:val="6F612E23"/>
    <w:rsid w:val="6FCE0349"/>
    <w:rsid w:val="6FDA50BB"/>
    <w:rsid w:val="6FE81D09"/>
    <w:rsid w:val="6FF76D66"/>
    <w:rsid w:val="70053924"/>
    <w:rsid w:val="70A8077A"/>
    <w:rsid w:val="70AF77E0"/>
    <w:rsid w:val="7115003E"/>
    <w:rsid w:val="715B1E72"/>
    <w:rsid w:val="71690D46"/>
    <w:rsid w:val="718D16A7"/>
    <w:rsid w:val="71A7274E"/>
    <w:rsid w:val="71A978CC"/>
    <w:rsid w:val="728438B9"/>
    <w:rsid w:val="7287440F"/>
    <w:rsid w:val="729C5716"/>
    <w:rsid w:val="73162A83"/>
    <w:rsid w:val="73442F72"/>
    <w:rsid w:val="734621EA"/>
    <w:rsid w:val="734D1603"/>
    <w:rsid w:val="744E400E"/>
    <w:rsid w:val="74B01FAA"/>
    <w:rsid w:val="74DA2C38"/>
    <w:rsid w:val="74E67CBC"/>
    <w:rsid w:val="751B1286"/>
    <w:rsid w:val="757645B0"/>
    <w:rsid w:val="759B24B3"/>
    <w:rsid w:val="75C10807"/>
    <w:rsid w:val="761A24DA"/>
    <w:rsid w:val="761D3FF0"/>
    <w:rsid w:val="7625056E"/>
    <w:rsid w:val="762D754F"/>
    <w:rsid w:val="764E6E1C"/>
    <w:rsid w:val="76EC7ECF"/>
    <w:rsid w:val="76F96005"/>
    <w:rsid w:val="77512BE5"/>
    <w:rsid w:val="7754756D"/>
    <w:rsid w:val="77601195"/>
    <w:rsid w:val="77BE27C5"/>
    <w:rsid w:val="77C115B1"/>
    <w:rsid w:val="77E969F8"/>
    <w:rsid w:val="77F365A0"/>
    <w:rsid w:val="7817154A"/>
    <w:rsid w:val="7856453B"/>
    <w:rsid w:val="78786EE8"/>
    <w:rsid w:val="78AA44FB"/>
    <w:rsid w:val="78FA418F"/>
    <w:rsid w:val="795F4C29"/>
    <w:rsid w:val="796A31E0"/>
    <w:rsid w:val="79854C0A"/>
    <w:rsid w:val="799C284A"/>
    <w:rsid w:val="79C25C64"/>
    <w:rsid w:val="79ED577A"/>
    <w:rsid w:val="7A0765F4"/>
    <w:rsid w:val="7A243C5D"/>
    <w:rsid w:val="7A6431A8"/>
    <w:rsid w:val="7AA60C6D"/>
    <w:rsid w:val="7AC455ED"/>
    <w:rsid w:val="7AD27E13"/>
    <w:rsid w:val="7AED0F1C"/>
    <w:rsid w:val="7AEE1B5D"/>
    <w:rsid w:val="7B5173C7"/>
    <w:rsid w:val="7B973B50"/>
    <w:rsid w:val="7BA90987"/>
    <w:rsid w:val="7BCB4D9D"/>
    <w:rsid w:val="7C054350"/>
    <w:rsid w:val="7CA86EE2"/>
    <w:rsid w:val="7CBC1904"/>
    <w:rsid w:val="7CD8157D"/>
    <w:rsid w:val="7D0C52C7"/>
    <w:rsid w:val="7D260D90"/>
    <w:rsid w:val="7D3618EC"/>
    <w:rsid w:val="7D575D7A"/>
    <w:rsid w:val="7D662267"/>
    <w:rsid w:val="7D820B6D"/>
    <w:rsid w:val="7D874CEF"/>
    <w:rsid w:val="7D8776DC"/>
    <w:rsid w:val="7DC32EC2"/>
    <w:rsid w:val="7E0C02D2"/>
    <w:rsid w:val="7E431C8F"/>
    <w:rsid w:val="7E920BF1"/>
    <w:rsid w:val="7F525EC2"/>
    <w:rsid w:val="7F605FD9"/>
    <w:rsid w:val="7F853CEB"/>
    <w:rsid w:val="7FB87709"/>
    <w:rsid w:val="7FC1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2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22"/>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6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annotation subject"/>
    <w:basedOn w:val="14"/>
    <w:next w:val="14"/>
    <w:link w:val="223"/>
    <w:qFormat/>
    <w:uiPriority w:val="0"/>
    <w:pPr>
      <w:adjustRightInd/>
      <w:spacing w:line="240" w:lineRule="auto"/>
      <w:textAlignment w:val="auto"/>
    </w:pPr>
  </w:style>
  <w:style w:type="paragraph" w:styleId="14">
    <w:name w:val="annotation text"/>
    <w:basedOn w:val="1"/>
    <w:link w:val="237"/>
    <w:qFormat/>
    <w:uiPriority w:val="0"/>
    <w:pPr>
      <w:adjustRightInd w:val="0"/>
      <w:spacing w:line="360" w:lineRule="atLeast"/>
      <w:jc w:val="left"/>
      <w:textAlignment w:val="baseline"/>
    </w:pPr>
    <w:rPr>
      <w:kern w:val="0"/>
      <w:sz w:val="24"/>
    </w:rPr>
  </w:style>
  <w:style w:type="paragraph" w:styleId="15">
    <w:name w:val="toc 7"/>
    <w:basedOn w:val="1"/>
    <w:next w:val="1"/>
    <w:qFormat/>
    <w:uiPriority w:val="0"/>
    <w:pPr>
      <w:ind w:left="2520" w:leftChars="1200"/>
    </w:pPr>
  </w:style>
  <w:style w:type="paragraph" w:styleId="16">
    <w:name w:val="Body Text First Indent"/>
    <w:basedOn w:val="1"/>
    <w:qFormat/>
    <w:uiPriority w:val="0"/>
    <w:pPr>
      <w:spacing w:line="360" w:lineRule="auto"/>
      <w:ind w:firstLine="420"/>
    </w:pPr>
    <w:rPr>
      <w:rFonts w:ascii="宋体" w:hAnsi="宋体"/>
      <w:sz w:val="24"/>
    </w:rPr>
  </w:style>
  <w:style w:type="paragraph" w:styleId="17">
    <w:name w:val="List Number 2"/>
    <w:basedOn w:val="1"/>
    <w:qFormat/>
    <w:uiPriority w:val="0"/>
    <w:pPr>
      <w:tabs>
        <w:tab w:val="left" w:pos="780"/>
      </w:tabs>
      <w:spacing w:line="360" w:lineRule="auto"/>
      <w:ind w:left="425" w:hanging="425"/>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link w:val="253"/>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Salutation"/>
    <w:basedOn w:val="1"/>
    <w:next w:val="1"/>
    <w:qFormat/>
    <w:uiPriority w:val="0"/>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216"/>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38"/>
    <w:qFormat/>
    <w:uiPriority w:val="0"/>
  </w:style>
  <w:style w:type="paragraph" w:styleId="36">
    <w:name w:val="Body Text Indent 2"/>
    <w:basedOn w:val="1"/>
    <w:next w:val="1"/>
    <w:link w:val="225"/>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29"/>
    <w:qFormat/>
    <w:uiPriority w:val="0"/>
    <w:pPr>
      <w:tabs>
        <w:tab w:val="center" w:pos="4153"/>
        <w:tab w:val="right" w:pos="8306"/>
      </w:tabs>
      <w:snapToGrid w:val="0"/>
      <w:jc w:val="left"/>
    </w:pPr>
    <w:rPr>
      <w:sz w:val="18"/>
    </w:rPr>
  </w:style>
  <w:style w:type="paragraph" w:styleId="39">
    <w:name w:val="Body Text First Indent 2"/>
    <w:basedOn w:val="26"/>
    <w:link w:val="249"/>
    <w:qFormat/>
    <w:uiPriority w:val="0"/>
    <w:pPr>
      <w:spacing w:after="120" w:line="240" w:lineRule="auto"/>
      <w:ind w:left="420" w:leftChars="200" w:firstLine="420" w:firstLineChars="200"/>
    </w:pPr>
  </w:style>
  <w:style w:type="paragraph" w:styleId="40">
    <w:name w:val="header"/>
    <w:basedOn w:val="1"/>
    <w:link w:val="248"/>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228"/>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245"/>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character" w:styleId="60">
    <w:name w:val="Strong"/>
    <w:qFormat/>
    <w:uiPriority w:val="0"/>
    <w:rPr>
      <w:rFonts w:ascii="Times New Roman" w:hAnsi="Times New Roman" w:eastAsia="宋体" w:cs="Times New Roman"/>
      <w:b/>
    </w:rPr>
  </w:style>
  <w:style w:type="character" w:styleId="61">
    <w:name w:val="page number"/>
    <w:basedOn w:val="59"/>
    <w:qFormat/>
    <w:uiPriority w:val="0"/>
    <w:rPr>
      <w:rFonts w:ascii="Times New Roman" w:hAnsi="Times New Roman" w:eastAsia="宋体" w:cs="Times New Roman"/>
    </w:rPr>
  </w:style>
  <w:style w:type="character" w:styleId="62">
    <w:name w:val="FollowedHyperlink"/>
    <w:qFormat/>
    <w:uiPriority w:val="0"/>
    <w:rPr>
      <w:rFonts w:ascii="Times New Roman" w:hAnsi="Times New Roman" w:eastAsia="宋体" w:cs="Times New Roman"/>
      <w:color w:val="800080"/>
      <w:u w:val="single"/>
    </w:rPr>
  </w:style>
  <w:style w:type="character" w:styleId="63">
    <w:name w:val="Emphasis"/>
    <w:qFormat/>
    <w:uiPriority w:val="0"/>
    <w:rPr>
      <w:rFonts w:ascii="Times New Roman" w:hAnsi="Times New Roman" w:eastAsia="宋体" w:cs="Times New Roman"/>
      <w:i/>
    </w:rPr>
  </w:style>
  <w:style w:type="character" w:styleId="64">
    <w:name w:val="Hyperlink"/>
    <w:qFormat/>
    <w:uiPriority w:val="0"/>
    <w:rPr>
      <w:rFonts w:ascii="Times New Roman" w:hAnsi="Times New Roman" w:eastAsia="宋体" w:cs="Times New Roman"/>
      <w:color w:val="0000FF"/>
      <w:u w:val="single"/>
    </w:rPr>
  </w:style>
  <w:style w:type="character" w:styleId="65">
    <w:name w:val="annotation reference"/>
    <w:qFormat/>
    <w:uiPriority w:val="0"/>
    <w:rPr>
      <w:rFonts w:ascii="Times New Roman" w:hAnsi="Times New Roman" w:eastAsia="宋体" w:cs="Times New Roman"/>
      <w:sz w:val="21"/>
      <w:szCs w:val="21"/>
    </w:rPr>
  </w:style>
  <w:style w:type="character" w:styleId="66">
    <w:name w:val="footnote reference"/>
    <w:qFormat/>
    <w:uiPriority w:val="0"/>
    <w:rPr>
      <w:rFonts w:ascii="Times New Roman" w:hAnsi="Times New Roman" w:eastAsia="宋体" w:cs="Times New Roman"/>
      <w:position w:val="6"/>
      <w:sz w:val="14"/>
      <w:vertAlign w:val="superscript"/>
    </w:rPr>
  </w:style>
  <w:style w:type="table" w:styleId="68">
    <w:name w:val="Table Grid"/>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9">
    <w:name w:val="列表项目"/>
    <w:basedOn w:val="1"/>
    <w:qFormat/>
    <w:uiPriority w:val="0"/>
    <w:pPr>
      <w:tabs>
        <w:tab w:val="left" w:pos="420"/>
      </w:tabs>
      <w:spacing w:line="288" w:lineRule="auto"/>
      <w:ind w:left="840" w:leftChars="200" w:hanging="420" w:hangingChars="200"/>
    </w:pPr>
    <w:rPr>
      <w:sz w:val="21"/>
    </w:rPr>
  </w:style>
  <w:style w:type="paragraph" w:customStyle="1" w:styleId="70">
    <w:name w:val="00"/>
    <w:basedOn w:val="1"/>
    <w:qFormat/>
    <w:uiPriority w:val="0"/>
    <w:pPr>
      <w:autoSpaceDE w:val="0"/>
      <w:autoSpaceDN w:val="0"/>
      <w:adjustRightInd w:val="0"/>
      <w:jc w:val="left"/>
    </w:pPr>
    <w:rPr>
      <w:rFonts w:ascii="黑体" w:eastAsia="黑体"/>
      <w:b/>
      <w:kern w:val="0"/>
      <w:sz w:val="20"/>
    </w:rPr>
  </w:style>
  <w:style w:type="paragraph" w:customStyle="1" w:styleId="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72">
    <w:name w:val="Char1"/>
    <w:basedOn w:val="1"/>
    <w:qFormat/>
    <w:uiPriority w:val="0"/>
    <w:rPr>
      <w:sz w:val="21"/>
    </w:rPr>
  </w:style>
  <w:style w:type="paragraph" w:customStyle="1" w:styleId="73">
    <w:name w:val="Char Char 字元 字元 字元 Char Char Char Char"/>
    <w:basedOn w:val="1"/>
    <w:qFormat/>
    <w:uiPriority w:val="0"/>
    <w:pPr>
      <w:adjustRightInd w:val="0"/>
      <w:spacing w:line="360" w:lineRule="auto"/>
    </w:pPr>
    <w:rPr>
      <w:kern w:val="0"/>
      <w:sz w:val="24"/>
    </w:rPr>
  </w:style>
  <w:style w:type="paragraph" w:customStyle="1" w:styleId="7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75">
    <w:name w:val="样式 正文文本缩进 + 左  0 字符"/>
    <w:basedOn w:val="1"/>
    <w:qFormat/>
    <w:uiPriority w:val="0"/>
    <w:pPr>
      <w:spacing w:line="360" w:lineRule="auto"/>
      <w:ind w:firstLine="250" w:firstLineChars="250"/>
    </w:pPr>
    <w:rPr>
      <w:rFonts w:cs="宋体"/>
      <w:sz w:val="24"/>
    </w:rPr>
  </w:style>
  <w:style w:type="paragraph" w:customStyle="1" w:styleId="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77">
    <w:name w:val="Char Char Char Char Char"/>
    <w:basedOn w:val="1"/>
    <w:qFormat/>
    <w:uiPriority w:val="0"/>
    <w:pPr>
      <w:tabs>
        <w:tab w:val="left" w:pos="425"/>
      </w:tabs>
      <w:ind w:left="1620" w:hanging="360"/>
    </w:pPr>
    <w:rPr>
      <w:rFonts w:ascii="Tahoma" w:hAnsi="Tahoma"/>
      <w:sz w:val="24"/>
    </w:rPr>
  </w:style>
  <w:style w:type="paragraph" w:customStyle="1" w:styleId="7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79">
    <w:name w:val="List Paragraph1"/>
    <w:basedOn w:val="1"/>
    <w:qFormat/>
    <w:uiPriority w:val="0"/>
    <w:pPr>
      <w:ind w:firstLine="420" w:firstLineChars="200"/>
    </w:pPr>
  </w:style>
  <w:style w:type="paragraph" w:customStyle="1" w:styleId="80">
    <w:name w:val="关键词"/>
    <w:basedOn w:val="1"/>
    <w:next w:val="1"/>
    <w:qFormat/>
    <w:uiPriority w:val="0"/>
    <w:pPr>
      <w:spacing w:line="360" w:lineRule="auto"/>
    </w:pPr>
    <w:rPr>
      <w:rFonts w:eastAsia="黑体"/>
      <w:sz w:val="20"/>
    </w:rPr>
  </w:style>
  <w:style w:type="paragraph" w:customStyle="1" w:styleId="8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83">
    <w:name w:val="Char Char Char Char Char Char Char Char Char Char Char Char Char Char Char Char"/>
    <w:basedOn w:val="1"/>
    <w:qFormat/>
    <w:uiPriority w:val="0"/>
    <w:pPr>
      <w:tabs>
        <w:tab w:val="left" w:pos="360"/>
      </w:tabs>
    </w:pPr>
    <w:rPr>
      <w:sz w:val="24"/>
    </w:rPr>
  </w:style>
  <w:style w:type="paragraph" w:customStyle="1" w:styleId="84">
    <w:name w:val="样式 正文缩进正文（首行缩进两字）表正文正文非缩进特点标题4段1 + 首行缩进:  2 字符"/>
    <w:basedOn w:val="19"/>
    <w:qFormat/>
    <w:uiPriority w:val="0"/>
    <w:pPr>
      <w:ind w:firstLine="480" w:firstLineChars="200"/>
    </w:pPr>
  </w:style>
  <w:style w:type="paragraph" w:customStyle="1" w:styleId="85">
    <w:name w:val="附录3"/>
    <w:basedOn w:val="1"/>
    <w:next w:val="1"/>
    <w:qFormat/>
    <w:uiPriority w:val="0"/>
    <w:pPr>
      <w:tabs>
        <w:tab w:val="left" w:pos="851"/>
      </w:tabs>
      <w:ind w:left="425" w:hanging="425"/>
      <w:outlineLvl w:val="2"/>
    </w:pPr>
    <w:rPr>
      <w:rFonts w:eastAsia="黑体"/>
      <w:b/>
      <w:sz w:val="32"/>
    </w:rPr>
  </w:style>
  <w:style w:type="paragraph" w:customStyle="1" w:styleId="86">
    <w:name w:val="首行缩进 1"/>
    <w:basedOn w:val="1"/>
    <w:qFormat/>
    <w:uiPriority w:val="0"/>
    <w:pPr>
      <w:spacing w:after="120" w:line="360" w:lineRule="auto"/>
      <w:ind w:firstLine="200" w:firstLineChars="200"/>
    </w:pPr>
    <w:rPr>
      <w:sz w:val="24"/>
    </w:rPr>
  </w:style>
  <w:style w:type="paragraph" w:customStyle="1" w:styleId="8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图例"/>
    <w:basedOn w:val="1"/>
    <w:qFormat/>
    <w:uiPriority w:val="0"/>
    <w:pPr>
      <w:spacing w:before="120" w:after="120" w:line="360" w:lineRule="auto"/>
      <w:jc w:val="center"/>
    </w:pPr>
    <w:rPr>
      <w:rFonts w:eastAsia="仿宋_GB2312"/>
      <w:b/>
      <w:sz w:val="24"/>
    </w:rPr>
  </w:style>
  <w:style w:type="paragraph" w:customStyle="1" w:styleId="8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90">
    <w:name w:val="af"/>
    <w:basedOn w:val="1"/>
    <w:qFormat/>
    <w:uiPriority w:val="0"/>
    <w:pPr>
      <w:widowControl/>
      <w:spacing w:line="300" w:lineRule="atLeast"/>
      <w:jc w:val="left"/>
    </w:pPr>
    <w:rPr>
      <w:rFonts w:ascii="宋体" w:hAnsi="宋体"/>
      <w:kern w:val="0"/>
      <w:sz w:val="18"/>
    </w:rPr>
  </w:style>
  <w:style w:type="paragraph" w:customStyle="1" w:styleId="9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9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94">
    <w:name w:val="样式 行距: 1.5 倍行距1"/>
    <w:basedOn w:val="1"/>
    <w:qFormat/>
    <w:uiPriority w:val="0"/>
    <w:pPr>
      <w:snapToGrid w:val="0"/>
    </w:pPr>
    <w:rPr>
      <w:sz w:val="21"/>
    </w:rPr>
  </w:style>
  <w:style w:type="paragraph" w:customStyle="1" w:styleId="95">
    <w:name w:val="Char Char14 Char Char"/>
    <w:basedOn w:val="1"/>
    <w:qFormat/>
    <w:uiPriority w:val="0"/>
    <w:rPr>
      <w:sz w:val="21"/>
      <w:szCs w:val="24"/>
    </w:rPr>
  </w:style>
  <w:style w:type="paragraph" w:customStyle="1" w:styleId="96">
    <w:name w:val="Char Char Char"/>
    <w:basedOn w:val="1"/>
    <w:qFormat/>
    <w:uiPriority w:val="0"/>
    <w:rPr>
      <w:rFonts w:ascii="Tahoma" w:hAnsi="Tahoma"/>
      <w:sz w:val="24"/>
    </w:rPr>
  </w:style>
  <w:style w:type="paragraph" w:customStyle="1" w:styleId="97">
    <w:name w:val="表头文本"/>
    <w:qFormat/>
    <w:uiPriority w:val="0"/>
    <w:pPr>
      <w:jc w:val="center"/>
    </w:pPr>
    <w:rPr>
      <w:rFonts w:ascii="Arial" w:hAnsi="Arial" w:eastAsia="宋体" w:cs="Times New Roman"/>
      <w:b/>
      <w:sz w:val="21"/>
      <w:lang w:val="en-US" w:eastAsia="zh-CN" w:bidi="ar-SA"/>
    </w:rPr>
  </w:style>
  <w:style w:type="paragraph" w:customStyle="1" w:styleId="98">
    <w:name w:val="表内文字"/>
    <w:basedOn w:val="1"/>
    <w:qFormat/>
    <w:uiPriority w:val="0"/>
    <w:pPr>
      <w:jc w:val="left"/>
    </w:pPr>
    <w:rPr>
      <w:rFonts w:ascii="仿宋_GB2312" w:eastAsia="仿宋_GB2312"/>
      <w:sz w:val="21"/>
      <w:szCs w:val="21"/>
    </w:rPr>
  </w:style>
  <w:style w:type="paragraph" w:customStyle="1" w:styleId="99">
    <w:name w:val="A正文缩进2字符"/>
    <w:basedOn w:val="1"/>
    <w:qFormat/>
    <w:uiPriority w:val="0"/>
    <w:pPr>
      <w:widowControl/>
      <w:spacing w:line="360" w:lineRule="auto"/>
      <w:ind w:firstLine="480" w:firstLineChars="200"/>
      <w:jc w:val="left"/>
    </w:pPr>
    <w:rPr>
      <w:rFonts w:ascii="Bookman Old Style" w:hAnsi="Bookman Old Style"/>
      <w:kern w:val="0"/>
      <w:szCs w:val="24"/>
    </w:rPr>
  </w:style>
  <w:style w:type="paragraph" w:customStyle="1" w:styleId="100">
    <w:name w:val="Table Contents"/>
    <w:basedOn w:val="2"/>
    <w:qFormat/>
    <w:uiPriority w:val="0"/>
    <w:pPr>
      <w:suppressAutoHyphens/>
      <w:jc w:val="left"/>
    </w:pPr>
    <w:rPr>
      <w:rFonts w:ascii="Times New Roman" w:eastAsia="Times New Roman"/>
      <w:kern w:val="0"/>
      <w:sz w:val="24"/>
    </w:rPr>
  </w:style>
  <w:style w:type="paragraph" w:customStyle="1" w:styleId="101">
    <w:name w:val="正文字缩2字"/>
    <w:basedOn w:val="1"/>
    <w:qFormat/>
    <w:uiPriority w:val="0"/>
    <w:pPr>
      <w:spacing w:before="60" w:after="60" w:line="360" w:lineRule="auto"/>
      <w:ind w:left="200" w:leftChars="200" w:firstLine="200" w:firstLineChars="200"/>
    </w:pPr>
    <w:rPr>
      <w:sz w:val="24"/>
    </w:rPr>
  </w:style>
  <w:style w:type="paragraph" w:customStyle="1" w:styleId="102">
    <w:name w:val="简单回函地址"/>
    <w:basedOn w:val="1"/>
    <w:qFormat/>
    <w:uiPriority w:val="0"/>
    <w:pPr>
      <w:adjustRightInd w:val="0"/>
      <w:snapToGrid w:val="0"/>
      <w:spacing w:line="360" w:lineRule="auto"/>
    </w:pPr>
    <w:rPr>
      <w:sz w:val="24"/>
    </w:rPr>
  </w:style>
  <w:style w:type="paragraph" w:customStyle="1" w:styleId="10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04">
    <w:name w:val="List Paragraph"/>
    <w:basedOn w:val="1"/>
    <w:qFormat/>
    <w:uiPriority w:val="0"/>
    <w:pPr>
      <w:ind w:firstLine="420" w:firstLineChars="200"/>
    </w:pPr>
  </w:style>
  <w:style w:type="paragraph" w:customStyle="1" w:styleId="105">
    <w:name w:val="样式1"/>
    <w:basedOn w:val="6"/>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6">
    <w:name w:val="Char1 Char Char Char"/>
    <w:basedOn w:val="1"/>
    <w:qFormat/>
    <w:uiPriority w:val="0"/>
    <w:rPr>
      <w:rFonts w:ascii="Tahoma" w:hAnsi="Tahoma"/>
      <w:sz w:val="30"/>
    </w:rPr>
  </w:style>
  <w:style w:type="paragraph" w:customStyle="1" w:styleId="107">
    <w:name w:val="Char Char Char Char Char Char Char1"/>
    <w:basedOn w:val="21"/>
    <w:qFormat/>
    <w:uiPriority w:val="0"/>
    <w:rPr>
      <w:rFonts w:ascii="宋体" w:hAnsi="Tahoma"/>
    </w:rPr>
  </w:style>
  <w:style w:type="paragraph" w:customStyle="1" w:styleId="10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Lines="50" w:line="360" w:lineRule="auto"/>
      <w:ind w:firstLine="200" w:firstLineChars="200"/>
    </w:pPr>
    <w:rPr>
      <w:spacing w:val="2"/>
      <w:sz w:val="24"/>
    </w:rPr>
  </w:style>
  <w:style w:type="paragraph" w:customStyle="1" w:styleId="11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1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16">
    <w:name w:val="文本框样式1"/>
    <w:basedOn w:val="1"/>
    <w:qFormat/>
    <w:uiPriority w:val="0"/>
    <w:pPr>
      <w:adjustRightInd w:val="0"/>
      <w:snapToGrid w:val="0"/>
      <w:spacing w:before="60" w:line="180" w:lineRule="exact"/>
      <w:jc w:val="center"/>
    </w:pPr>
    <w:rPr>
      <w:sz w:val="21"/>
    </w:rPr>
  </w:style>
  <w:style w:type="paragraph" w:customStyle="1" w:styleId="117">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1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0">
    <w:name w:val="Char Char Char Char Char Char Char"/>
    <w:basedOn w:val="1"/>
    <w:qFormat/>
    <w:uiPriority w:val="0"/>
    <w:rPr>
      <w:rFonts w:ascii="Tahoma" w:hAnsi="Tahoma"/>
      <w:sz w:val="24"/>
    </w:rPr>
  </w:style>
  <w:style w:type="paragraph" w:customStyle="1" w:styleId="121">
    <w:name w:val="表文字"/>
    <w:qFormat/>
    <w:uiPriority w:val="0"/>
    <w:rPr>
      <w:rFonts w:ascii="宋体" w:hAnsi="Times New Roman" w:eastAsia="宋体" w:cs="Times New Roman"/>
      <w:kern w:val="2"/>
      <w:lang w:val="en-US" w:eastAsia="zh-CN" w:bidi="ar-SA"/>
    </w:rPr>
  </w:style>
  <w:style w:type="paragraph" w:customStyle="1" w:styleId="1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3">
    <w:name w:val="表格文本"/>
    <w:qFormat/>
    <w:uiPriority w:val="0"/>
    <w:pPr>
      <w:tabs>
        <w:tab w:val="decimal" w:pos="0"/>
      </w:tabs>
    </w:pPr>
    <w:rPr>
      <w:rFonts w:ascii="Arial" w:hAnsi="Arial" w:eastAsia="宋体" w:cs="Times New Roman"/>
      <w:sz w:val="21"/>
      <w:lang w:val="en-US" w:eastAsia="zh-CN" w:bidi="ar-SA"/>
    </w:rPr>
  </w:style>
  <w:style w:type="paragraph" w:customStyle="1" w:styleId="124">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样式 宋体 五号 行距: 单倍行距"/>
    <w:basedOn w:val="1"/>
    <w:qFormat/>
    <w:uiPriority w:val="0"/>
    <w:pPr>
      <w:adjustRightInd w:val="0"/>
      <w:jc w:val="left"/>
    </w:pPr>
    <w:rPr>
      <w:rFonts w:ascii="宋体" w:hAnsi="宋体"/>
      <w:kern w:val="0"/>
      <w:sz w:val="21"/>
    </w:rPr>
  </w:style>
  <w:style w:type="paragraph" w:customStyle="1" w:styleId="128">
    <w:name w:val="Char Char1 Char"/>
    <w:basedOn w:val="1"/>
    <w:qFormat/>
    <w:uiPriority w:val="0"/>
    <w:rPr>
      <w:rFonts w:ascii="Tahoma" w:hAnsi="Tahoma"/>
      <w:sz w:val="24"/>
      <w:szCs w:val="24"/>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列出段落2"/>
    <w:basedOn w:val="1"/>
    <w:qFormat/>
    <w:uiPriority w:val="0"/>
    <w:pPr>
      <w:ind w:firstLine="420" w:firstLineChars="200"/>
    </w:pPr>
  </w:style>
  <w:style w:type="paragraph" w:customStyle="1" w:styleId="131">
    <w:name w:val="正文文本缩进 21"/>
    <w:basedOn w:val="1"/>
    <w:qFormat/>
    <w:uiPriority w:val="0"/>
    <w:pPr>
      <w:adjustRightInd w:val="0"/>
      <w:spacing w:before="120"/>
      <w:ind w:firstLine="420"/>
      <w:textAlignment w:val="baseline"/>
    </w:pPr>
    <w:rPr>
      <w:sz w:val="24"/>
    </w:rPr>
  </w:style>
  <w:style w:type="paragraph" w:customStyle="1" w:styleId="132">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3">
    <w:name w:val="没有缩进（为图形使用）"/>
    <w:basedOn w:val="1"/>
    <w:qFormat/>
    <w:uiPriority w:val="0"/>
    <w:pPr>
      <w:spacing w:before="120" w:after="120" w:line="360" w:lineRule="auto"/>
    </w:pPr>
    <w:rPr>
      <w:sz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Table Text"/>
    <w:link w:val="236"/>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正文（首行不缩进）"/>
    <w:basedOn w:val="1"/>
    <w:qFormat/>
    <w:uiPriority w:val="0"/>
    <w:pPr>
      <w:autoSpaceDE w:val="0"/>
      <w:autoSpaceDN w:val="0"/>
      <w:adjustRightInd w:val="0"/>
      <w:spacing w:line="360" w:lineRule="auto"/>
      <w:jc w:val="left"/>
    </w:pPr>
    <w:rPr>
      <w:kern w:val="0"/>
      <w:sz w:val="21"/>
    </w:rPr>
  </w:style>
  <w:style w:type="paragraph" w:customStyle="1" w:styleId="139">
    <w:name w:val="Table Text Char Char Char"/>
    <w:link w:val="244"/>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1">
    <w:name w:val="样式 样式 首行缩进:  2 字符 + 首行缩进:  2 字符"/>
    <w:basedOn w:val="1"/>
    <w:qFormat/>
    <w:uiPriority w:val="0"/>
    <w:pPr>
      <w:spacing w:line="360" w:lineRule="auto"/>
      <w:ind w:firstLine="480" w:firstLineChars="200"/>
    </w:pPr>
    <w:rPr>
      <w:sz w:val="24"/>
    </w:rPr>
  </w:style>
  <w:style w:type="paragraph" w:customStyle="1" w:styleId="142">
    <w:name w:val="正文表格"/>
    <w:basedOn w:val="1"/>
    <w:qFormat/>
    <w:uiPriority w:val="0"/>
    <w:pPr>
      <w:adjustRightInd w:val="0"/>
      <w:spacing w:before="40" w:after="40"/>
    </w:pPr>
    <w:rPr>
      <w:sz w:val="24"/>
    </w:rPr>
  </w:style>
  <w:style w:type="paragraph" w:customStyle="1" w:styleId="143">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4">
    <w:name w:val="文章正文"/>
    <w:basedOn w:val="1"/>
    <w:qFormat/>
    <w:uiPriority w:val="0"/>
    <w:pPr>
      <w:ind w:firstLine="560" w:firstLineChars="200"/>
    </w:pPr>
    <w:rPr>
      <w:rFonts w:ascii="仿宋_GB2312" w:hAnsi="宋体" w:eastAsia="仿宋_GB2312"/>
      <w:color w:val="000000"/>
    </w:rPr>
  </w:style>
  <w:style w:type="paragraph" w:customStyle="1" w:styleId="14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7">
    <w:name w:val="一级条标题"/>
    <w:basedOn w:val="148"/>
    <w:next w:val="125"/>
    <w:qFormat/>
    <w:uiPriority w:val="0"/>
    <w:pPr>
      <w:spacing w:beforeLines="0" w:afterLines="0"/>
      <w:ind w:left="525"/>
      <w:outlineLvl w:val="2"/>
    </w:pPr>
    <w:rPr>
      <w:rFonts w:ascii="Times New Roman" w:eastAsia="宋体"/>
      <w:sz w:val="21"/>
    </w:rPr>
  </w:style>
  <w:style w:type="paragraph" w:customStyle="1" w:styleId="148">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1">
    <w:name w:val="表格内文字"/>
    <w:basedOn w:val="33"/>
    <w:qFormat/>
    <w:uiPriority w:val="0"/>
    <w:pPr>
      <w:adjustRightInd w:val="0"/>
    </w:pPr>
    <w:rPr>
      <w:rFonts w:ascii="Times New Roman" w:hAnsi="Times New Roman"/>
      <w:color w:val="000000"/>
    </w:rPr>
  </w:style>
  <w:style w:type="paragraph" w:customStyle="1" w:styleId="152">
    <w:name w:val="Title - Revision"/>
    <w:basedOn w:val="58"/>
    <w:qFormat/>
    <w:uiPriority w:val="0"/>
    <w:pPr>
      <w:spacing w:before="720"/>
    </w:pPr>
    <w:rPr>
      <w:rFonts w:ascii="Times New Roman" w:hAnsi="Times New Roman"/>
    </w:rPr>
  </w:style>
  <w:style w:type="paragraph" w:customStyle="1" w:styleId="153">
    <w:name w:val="Char1 Char Char Char1"/>
    <w:basedOn w:val="1"/>
    <w:qFormat/>
    <w:uiPriority w:val="0"/>
    <w:rPr>
      <w:rFonts w:ascii="Tahoma" w:hAnsi="Tahoma"/>
      <w:sz w:val="24"/>
    </w:rPr>
  </w:style>
  <w:style w:type="paragraph" w:customStyle="1" w:styleId="15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5">
    <w:name w:val="标题无"/>
    <w:basedOn w:val="1"/>
    <w:qFormat/>
    <w:uiPriority w:val="0"/>
    <w:pPr>
      <w:spacing w:line="360" w:lineRule="auto"/>
    </w:pPr>
    <w:rPr>
      <w:sz w:val="24"/>
    </w:rPr>
  </w:style>
  <w:style w:type="paragraph" w:customStyle="1" w:styleId="15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样式 标题 6第五层条 + 三号 段前: 0.5 行"/>
    <w:basedOn w:val="8"/>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2">
    <w:name w:val="正文 + 三号"/>
    <w:basedOn w:val="1"/>
    <w:qFormat/>
    <w:uiPriority w:val="0"/>
    <w:rPr>
      <w:sz w:val="21"/>
    </w:rPr>
  </w:style>
  <w:style w:type="paragraph" w:customStyle="1" w:styleId="16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4">
    <w:name w:val="图片文字"/>
    <w:basedOn w:val="1"/>
    <w:qFormat/>
    <w:uiPriority w:val="0"/>
    <w:pPr>
      <w:spacing w:line="240" w:lineRule="atLeast"/>
      <w:jc w:val="center"/>
    </w:pPr>
    <w:rPr>
      <w:sz w:val="21"/>
    </w:rPr>
  </w:style>
  <w:style w:type="paragraph" w:customStyle="1" w:styleId="165">
    <w:name w:val="Style Heading 3h3Heading 3 - oldLevel 3 HeadH3level_3PIM 3se..."/>
    <w:basedOn w:val="5"/>
    <w:uiPriority w:val="0"/>
    <w:pPr>
      <w:tabs>
        <w:tab w:val="left" w:pos="709"/>
        <w:tab w:val="left" w:pos="1620"/>
      </w:tabs>
      <w:ind w:left="1620" w:hanging="360"/>
    </w:pPr>
  </w:style>
  <w:style w:type="paragraph" w:customStyle="1" w:styleId="166">
    <w:name w:val="内容标题"/>
    <w:basedOn w:val="21"/>
    <w:qFormat/>
    <w:uiPriority w:val="0"/>
    <w:rPr>
      <w:rFonts w:ascii="Tahoma" w:hAnsi="Tahoma"/>
      <w:sz w:val="24"/>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附录1"/>
    <w:basedOn w:val="1"/>
    <w:next w:val="1"/>
    <w:uiPriority w:val="0"/>
    <w:pPr>
      <w:tabs>
        <w:tab w:val="left" w:pos="1304"/>
      </w:tabs>
      <w:ind w:left="425" w:hanging="425"/>
      <w:outlineLvl w:val="0"/>
    </w:pPr>
    <w:rPr>
      <w:rFonts w:ascii="黑体" w:hAnsi="黑体" w:eastAsia="黑体"/>
      <w:b/>
      <w:sz w:val="44"/>
    </w:rPr>
  </w:style>
  <w:style w:type="paragraph" w:customStyle="1" w:styleId="169">
    <w:name w:val="首行缩进"/>
    <w:basedOn w:val="1"/>
    <w:qFormat/>
    <w:uiPriority w:val="0"/>
    <w:pPr>
      <w:tabs>
        <w:tab w:val="left" w:pos="540"/>
      </w:tabs>
      <w:spacing w:line="360" w:lineRule="auto"/>
      <w:ind w:left="540"/>
    </w:pPr>
    <w:rPr>
      <w:rFonts w:eastAsia="仿宋_GB2312"/>
    </w:rPr>
  </w:style>
  <w:style w:type="paragraph" w:customStyle="1" w:styleId="170">
    <w:name w:val="样式4"/>
    <w:basedOn w:val="6"/>
    <w:qFormat/>
    <w:uiPriority w:val="0"/>
    <w:pPr>
      <w:adjustRightInd w:val="0"/>
      <w:snapToGrid w:val="0"/>
    </w:pPr>
    <w:rPr>
      <w:rFonts w:ascii="Times New Roman" w:hAnsi="Times New Roman" w:eastAsia="宋体"/>
    </w:rPr>
  </w:style>
  <w:style w:type="paragraph" w:customStyle="1" w:styleId="171">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72">
    <w:name w:val="样式2"/>
    <w:basedOn w:val="6"/>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3">
    <w:name w:val="样式 首行缩进:  0.74 厘米"/>
    <w:basedOn w:val="1"/>
    <w:qFormat/>
    <w:uiPriority w:val="0"/>
    <w:pPr>
      <w:spacing w:line="360" w:lineRule="auto"/>
      <w:ind w:firstLine="420"/>
    </w:pPr>
    <w:rPr>
      <w:sz w:val="24"/>
    </w:rPr>
  </w:style>
  <w:style w:type="paragraph" w:customStyle="1" w:styleId="17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7">
    <w:name w:val="标题3——2"/>
    <w:basedOn w:val="5"/>
    <w:next w:val="1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8">
    <w:name w:val="1"/>
    <w:basedOn w:val="1"/>
    <w:next w:val="33"/>
    <w:link w:val="215"/>
    <w:qFormat/>
    <w:uiPriority w:val="0"/>
    <w:rPr>
      <w:rFonts w:ascii="宋体" w:hAnsi="Courier New"/>
      <w:sz w:val="21"/>
    </w:rPr>
  </w:style>
  <w:style w:type="paragraph" w:customStyle="1" w:styleId="17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0">
    <w:name w:val="修订1"/>
    <w:qFormat/>
    <w:uiPriority w:val="0"/>
    <w:rPr>
      <w:rFonts w:ascii="Times New Roman" w:hAnsi="Times New Roman" w:eastAsia="宋体" w:cs="Times New Roman"/>
      <w:kern w:val="2"/>
      <w:sz w:val="21"/>
      <w:lang w:val="en-US" w:eastAsia="zh-CN" w:bidi="ar-SA"/>
    </w:rPr>
  </w:style>
  <w:style w:type="paragraph" w:customStyle="1" w:styleId="181">
    <w:name w:val="文字"/>
    <w:basedOn w:val="1"/>
    <w:link w:val="247"/>
    <w:qFormat/>
    <w:uiPriority w:val="0"/>
    <w:pPr>
      <w:tabs>
        <w:tab w:val="left" w:pos="8520"/>
      </w:tabs>
      <w:spacing w:line="312" w:lineRule="auto"/>
      <w:ind w:right="-210" w:firstLine="556"/>
    </w:pPr>
    <w:rPr>
      <w:rFonts w:ascii="宋体"/>
    </w:rPr>
  </w:style>
  <w:style w:type="paragraph" w:customStyle="1" w:styleId="182">
    <w:name w:val="默认段落字体 Para Char Char Char Char Char Char Char"/>
    <w:basedOn w:val="1"/>
    <w:uiPriority w:val="0"/>
    <w:rPr>
      <w:rFonts w:ascii="Tahoma" w:hAnsi="Tahoma"/>
      <w:sz w:val="24"/>
    </w:r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5">
    <w:name w:val="可研正文"/>
    <w:basedOn w:val="2"/>
    <w:qFormat/>
    <w:uiPriority w:val="0"/>
    <w:pPr>
      <w:adjustRightInd w:val="0"/>
      <w:snapToGrid w:val="0"/>
      <w:spacing w:line="440" w:lineRule="exact"/>
      <w:ind w:firstLine="567"/>
    </w:pPr>
    <w:rPr>
      <w:rFonts w:ascii="Times New Roman" w:eastAsia="宋体"/>
      <w:sz w:val="28"/>
    </w:rPr>
  </w:style>
  <w:style w:type="paragraph" w:customStyle="1" w:styleId="186">
    <w:name w:val="Char2 Char Char Char Char Char Char"/>
    <w:basedOn w:val="1"/>
    <w:qFormat/>
    <w:uiPriority w:val="0"/>
    <w:rPr>
      <w:rFonts w:ascii="仿宋_GB2312"/>
      <w:b/>
      <w:sz w:val="30"/>
    </w:rPr>
  </w:style>
  <w:style w:type="paragraph" w:customStyle="1" w:styleId="187">
    <w:name w:val="标题2"/>
    <w:basedOn w:val="4"/>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0">
    <w:name w:val="样式1xz"/>
    <w:basedOn w:val="1"/>
    <w:qFormat/>
    <w:uiPriority w:val="0"/>
    <w:pPr>
      <w:tabs>
        <w:tab w:val="left" w:pos="1050"/>
        <w:tab w:val="right" w:leader="dot" w:pos="8296"/>
      </w:tabs>
    </w:pPr>
    <w:rPr>
      <w:caps/>
      <w:spacing w:val="20"/>
      <w:sz w:val="24"/>
    </w:rPr>
  </w:style>
  <w:style w:type="paragraph" w:customStyle="1" w:styleId="191">
    <w:name w:val="二级条标题"/>
    <w:basedOn w:val="147"/>
    <w:next w:val="125"/>
    <w:qFormat/>
    <w:uiPriority w:val="0"/>
    <w:pPr>
      <w:ind w:left="840"/>
      <w:outlineLvl w:val="3"/>
    </w:pPr>
  </w:style>
  <w:style w:type="paragraph" w:customStyle="1" w:styleId="19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3">
    <w:name w:val="编号正文"/>
    <w:basedOn w:val="82"/>
    <w:qFormat/>
    <w:uiPriority w:val="0"/>
    <w:pPr>
      <w:snapToGrid/>
      <w:spacing w:line="360" w:lineRule="auto"/>
      <w:ind w:left="1407" w:hanging="1047"/>
      <w:jc w:val="left"/>
    </w:pPr>
    <w:rPr>
      <w:rFonts w:ascii="Times New Roman" w:hAnsi="Times New Roman" w:eastAsia="仿宋_GB2312"/>
    </w:rPr>
  </w:style>
  <w:style w:type="paragraph" w:customStyle="1" w:styleId="194">
    <w:name w:val="标准正文"/>
    <w:basedOn w:val="26"/>
    <w:qFormat/>
    <w:uiPriority w:val="0"/>
    <w:pPr>
      <w:spacing w:before="60" w:after="60" w:line="360" w:lineRule="auto"/>
      <w:ind w:left="0" w:firstLine="482"/>
    </w:pPr>
    <w:rPr>
      <w:rFonts w:ascii="Arial" w:hAnsi="Arial"/>
      <w:sz w:val="24"/>
    </w:rPr>
  </w:style>
  <w:style w:type="paragraph" w:customStyle="1" w:styleId="19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6">
    <w:name w:val="表头样式"/>
    <w:basedOn w:val="1"/>
    <w:qFormat/>
    <w:uiPriority w:val="0"/>
    <w:pPr>
      <w:autoSpaceDE w:val="0"/>
      <w:autoSpaceDN w:val="0"/>
      <w:adjustRightInd w:val="0"/>
      <w:spacing w:line="360" w:lineRule="auto"/>
      <w:jc w:val="left"/>
    </w:pPr>
    <w:rPr>
      <w:b/>
      <w:kern w:val="0"/>
      <w:sz w:val="21"/>
    </w:rPr>
  </w:style>
  <w:style w:type="paragraph" w:customStyle="1" w:styleId="19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8">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Char2"/>
    <w:basedOn w:val="1"/>
    <w:qFormat/>
    <w:uiPriority w:val="0"/>
    <w:pPr>
      <w:spacing w:line="240" w:lineRule="atLeast"/>
      <w:ind w:left="420" w:firstLine="420"/>
    </w:pPr>
    <w:rPr>
      <w:kern w:val="0"/>
      <w:sz w:val="21"/>
    </w:rPr>
  </w:style>
  <w:style w:type="paragraph" w:customStyle="1" w:styleId="201">
    <w:name w:val="摘要"/>
    <w:basedOn w:val="1"/>
    <w:next w:val="4"/>
    <w:qFormat/>
    <w:uiPriority w:val="0"/>
    <w:pPr>
      <w:spacing w:line="360" w:lineRule="auto"/>
    </w:pPr>
    <w:rPr>
      <w:rFonts w:eastAsia="黑体"/>
      <w:sz w:val="20"/>
    </w:rPr>
  </w:style>
  <w:style w:type="paragraph" w:customStyle="1" w:styleId="20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3">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7">
    <w:name w:val="Title - Date"/>
    <w:basedOn w:val="58"/>
    <w:next w:val="1"/>
    <w:qFormat/>
    <w:uiPriority w:val="0"/>
    <w:pPr>
      <w:spacing w:before="240" w:after="720"/>
    </w:pPr>
    <w:rPr>
      <w:rFonts w:ascii="Times New Roman" w:hAnsi="Times New Roman"/>
      <w:sz w:val="28"/>
    </w:rPr>
  </w:style>
  <w:style w:type="paragraph" w:customStyle="1" w:styleId="208">
    <w:name w:val="正文1"/>
    <w:basedOn w:val="1"/>
    <w:qFormat/>
    <w:uiPriority w:val="0"/>
    <w:pPr>
      <w:spacing w:line="300" w:lineRule="auto"/>
      <w:ind w:firstLine="200" w:firstLineChars="200"/>
    </w:pPr>
    <w:rPr>
      <w:sz w:val="24"/>
    </w:rPr>
  </w:style>
  <w:style w:type="paragraph" w:customStyle="1" w:styleId="209">
    <w:name w:val="列出段落3"/>
    <w:basedOn w:val="1"/>
    <w:qFormat/>
    <w:uiPriority w:val="0"/>
    <w:pPr>
      <w:widowControl/>
      <w:ind w:firstLine="420" w:firstLineChars="200"/>
      <w:jc w:val="left"/>
    </w:pPr>
    <w:rPr>
      <w:rFonts w:ascii="宋体" w:hAnsi="宋体" w:cs="宋体"/>
      <w:kern w:val="0"/>
      <w:sz w:val="24"/>
      <w:szCs w:val="24"/>
    </w:rPr>
  </w:style>
  <w:style w:type="paragraph" w:customStyle="1" w:styleId="21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2">
    <w:name w:val="正文文本 21"/>
    <w:basedOn w:val="1"/>
    <w:qFormat/>
    <w:uiPriority w:val="0"/>
    <w:pPr>
      <w:adjustRightInd w:val="0"/>
      <w:spacing w:before="120" w:line="360" w:lineRule="auto"/>
      <w:ind w:firstLine="480"/>
      <w:textAlignment w:val="baseline"/>
    </w:pPr>
    <w:rPr>
      <w:sz w:val="24"/>
    </w:rPr>
  </w:style>
  <w:style w:type="character" w:customStyle="1" w:styleId="213">
    <w:name w:val="未命名11"/>
    <w:qFormat/>
    <w:uiPriority w:val="0"/>
    <w:rPr>
      <w:rFonts w:ascii="Times New Roman" w:hAnsi="Times New Roman" w:eastAsia="宋体" w:cs="Times New Roman"/>
      <w:color w:val="77FFFF"/>
      <w:sz w:val="24"/>
    </w:rPr>
  </w:style>
  <w:style w:type="character" w:customStyle="1" w:styleId="214">
    <w:name w:val="小 Char"/>
    <w:qFormat/>
    <w:uiPriority w:val="0"/>
    <w:rPr>
      <w:rFonts w:ascii="宋体" w:hAnsi="Courier New" w:eastAsia="宋体" w:cs="Times New Roman"/>
      <w:kern w:val="2"/>
      <w:sz w:val="21"/>
      <w:lang w:val="en-US" w:eastAsia="zh-CN" w:bidi="ar-SA"/>
    </w:rPr>
  </w:style>
  <w:style w:type="character" w:customStyle="1" w:styleId="215">
    <w:name w:val="1[858D7CFB-ED40-4347-BF05-701D383B685F]"/>
    <w:link w:val="178"/>
    <w:qFormat/>
    <w:uiPriority w:val="0"/>
    <w:rPr>
      <w:rFonts w:ascii="宋体" w:hAnsi="Courier New" w:eastAsia="宋体" w:cs="Times New Roman"/>
      <w:kern w:val="2"/>
      <w:sz w:val="21"/>
    </w:rPr>
  </w:style>
  <w:style w:type="character" w:customStyle="1" w:styleId="216">
    <w:name w:val="正文文本缩进 Char"/>
    <w:link w:val="26"/>
    <w:qFormat/>
    <w:uiPriority w:val="0"/>
    <w:rPr>
      <w:rFonts w:ascii="Times New Roman" w:hAnsi="Times New Roman" w:eastAsia="宋体" w:cs="Times New Roman"/>
      <w:kern w:val="2"/>
      <w:sz w:val="44"/>
    </w:rPr>
  </w:style>
  <w:style w:type="character" w:customStyle="1" w:styleId="217">
    <w:name w:val="v151"/>
    <w:qFormat/>
    <w:uiPriority w:val="0"/>
    <w:rPr>
      <w:rFonts w:ascii="Times New Roman" w:hAnsi="Times New Roman" w:eastAsia="宋体" w:cs="Times New Roman"/>
      <w:sz w:val="18"/>
    </w:rPr>
  </w:style>
  <w:style w:type="character" w:customStyle="1" w:styleId="218">
    <w:name w:val="Char Char5"/>
    <w:qFormat/>
    <w:uiPriority w:val="0"/>
    <w:rPr>
      <w:rFonts w:ascii="Arial" w:hAnsi="Arial" w:eastAsia="宋体" w:cs="Times New Roman"/>
      <w:b/>
      <w:smallCaps/>
      <w:kern w:val="28"/>
      <w:sz w:val="36"/>
      <w:lang w:val="en-US" w:eastAsia="en-US"/>
    </w:rPr>
  </w:style>
  <w:style w:type="character" w:customStyle="1" w:styleId="219">
    <w:name w:val="Char Char4"/>
    <w:qFormat/>
    <w:uiPriority w:val="0"/>
    <w:rPr>
      <w:rFonts w:ascii="Times New Roman" w:hAnsi="Times New Roman" w:eastAsia="宋体" w:cs="Times New Roman"/>
      <w:b/>
      <w:kern w:val="2"/>
      <w:sz w:val="21"/>
      <w:lang w:val="en-US" w:eastAsia="zh-CN"/>
    </w:rPr>
  </w:style>
  <w:style w:type="character" w:customStyle="1" w:styleId="220">
    <w:name w:val="副标题 Char1"/>
    <w:qFormat/>
    <w:uiPriority w:val="0"/>
    <w:rPr>
      <w:rFonts w:ascii="Calibri Light" w:hAnsi="Calibri Light" w:eastAsia="宋体" w:cs="Times New Roman"/>
      <w:b/>
      <w:bCs/>
      <w:kern w:val="28"/>
      <w:sz w:val="32"/>
      <w:szCs w:val="32"/>
    </w:rPr>
  </w:style>
  <w:style w:type="character" w:customStyle="1" w:styleId="221">
    <w:name w:val="Char Char6"/>
    <w:qFormat/>
    <w:uiPriority w:val="0"/>
    <w:rPr>
      <w:rFonts w:ascii="仿宋_GB2312" w:hAnsi="Times New Roman" w:eastAsia="仿宋_GB2312" w:cs="Times New Roman"/>
      <w:kern w:val="2"/>
      <w:sz w:val="32"/>
    </w:rPr>
  </w:style>
  <w:style w:type="character" w:customStyle="1" w:styleId="222">
    <w:name w:val="标题 3 Char"/>
    <w:link w:val="5"/>
    <w:qFormat/>
    <w:uiPriority w:val="0"/>
    <w:rPr>
      <w:rFonts w:ascii="Times New Roman" w:hAnsi="Times New Roman" w:eastAsia="宋体" w:cs="Times New Roman"/>
      <w:b/>
      <w:kern w:val="2"/>
      <w:sz w:val="32"/>
      <w:lang w:val="en-US" w:eastAsia="zh-CN"/>
    </w:rPr>
  </w:style>
  <w:style w:type="character" w:customStyle="1" w:styleId="223">
    <w:name w:val="批注主题 Char"/>
    <w:link w:val="13"/>
    <w:qFormat/>
    <w:uiPriority w:val="0"/>
    <w:rPr>
      <w:rFonts w:ascii="Times New Roman" w:hAnsi="Times New Roman" w:eastAsia="宋体" w:cs="Times New Roman"/>
      <w:sz w:val="24"/>
    </w:rPr>
  </w:style>
  <w:style w:type="character" w:customStyle="1" w:styleId="224">
    <w:name w:val="标题 2 Char"/>
    <w:link w:val="4"/>
    <w:qFormat/>
    <w:uiPriority w:val="0"/>
    <w:rPr>
      <w:rFonts w:ascii="Arial" w:hAnsi="Arial" w:eastAsia="黑体" w:cs="Times New Roman"/>
      <w:b/>
      <w:kern w:val="2"/>
      <w:sz w:val="32"/>
    </w:rPr>
  </w:style>
  <w:style w:type="character" w:customStyle="1" w:styleId="225">
    <w:name w:val="正文文本缩进 2 Char"/>
    <w:link w:val="36"/>
    <w:qFormat/>
    <w:uiPriority w:val="0"/>
    <w:rPr>
      <w:rFonts w:ascii="Times New Roman" w:hAnsi="Times New Roman" w:eastAsia="宋体" w:cs="Times New Roman"/>
      <w:kern w:val="2"/>
      <w:sz w:val="28"/>
    </w:rPr>
  </w:style>
  <w:style w:type="character" w:customStyle="1" w:styleId="226">
    <w:name w:val="title_emph1"/>
    <w:qFormat/>
    <w:uiPriority w:val="0"/>
    <w:rPr>
      <w:rFonts w:hint="default" w:ascii="Arial" w:hAnsi="Arial" w:eastAsia="宋体" w:cs="Times New Roman"/>
      <w:b/>
      <w:sz w:val="20"/>
    </w:rPr>
  </w:style>
  <w:style w:type="character" w:customStyle="1" w:styleId="227">
    <w:name w:val="Table Text Char1 Char"/>
    <w:qFormat/>
    <w:uiPriority w:val="0"/>
    <w:rPr>
      <w:rFonts w:ascii="Arial" w:hAnsi="Arial" w:eastAsia="宋体" w:cs="Times New Roman"/>
      <w:kern w:val="2"/>
      <w:sz w:val="18"/>
      <w:lang w:val="en-US" w:eastAsia="zh-CN" w:bidi="ar-SA"/>
    </w:rPr>
  </w:style>
  <w:style w:type="character" w:customStyle="1" w:styleId="228">
    <w:name w:val="副标题 Char"/>
    <w:link w:val="44"/>
    <w:qFormat/>
    <w:uiPriority w:val="0"/>
    <w:rPr>
      <w:rFonts w:ascii="Cambria" w:hAnsi="Cambria" w:eastAsia="宋体" w:cs="Times New Roman"/>
      <w:b/>
      <w:bCs/>
      <w:kern w:val="28"/>
      <w:sz w:val="32"/>
      <w:szCs w:val="32"/>
    </w:rPr>
  </w:style>
  <w:style w:type="character" w:customStyle="1" w:styleId="229">
    <w:name w:val="页脚 Char"/>
    <w:link w:val="38"/>
    <w:qFormat/>
    <w:uiPriority w:val="0"/>
    <w:rPr>
      <w:rFonts w:ascii="Times New Roman" w:hAnsi="Times New Roman" w:eastAsia="宋体" w:cs="Times New Roman"/>
      <w:kern w:val="2"/>
      <w:sz w:val="18"/>
    </w:rPr>
  </w:style>
  <w:style w:type="character" w:customStyle="1" w:styleId="230">
    <w:name w:val="crowed11"/>
    <w:qFormat/>
    <w:uiPriority w:val="0"/>
    <w:rPr>
      <w:rFonts w:hint="default" w:ascii="Times New Roman" w:hAnsi="Times New Roman" w:eastAsia="宋体" w:cs="Times New Roman"/>
      <w:sz w:val="24"/>
    </w:rPr>
  </w:style>
  <w:style w:type="character" w:customStyle="1" w:styleId="231">
    <w:name w:val="样式 宋体"/>
    <w:qFormat/>
    <w:uiPriority w:val="0"/>
    <w:rPr>
      <w:rFonts w:ascii="宋体" w:hAnsi="宋体" w:eastAsia="宋体" w:cs="Times New Roman"/>
      <w:sz w:val="28"/>
    </w:rPr>
  </w:style>
  <w:style w:type="character" w:customStyle="1" w:styleId="232">
    <w:name w:val="标书正文:  0.74 厘米 Char1"/>
    <w:qFormat/>
    <w:uiPriority w:val="0"/>
    <w:rPr>
      <w:rFonts w:ascii="Times New Roman" w:hAnsi="Times New Roman" w:eastAsia="宋体" w:cs="Times New Roman"/>
      <w:kern w:val="2"/>
      <w:sz w:val="24"/>
      <w:lang w:val="en-US" w:eastAsia="zh-CN"/>
    </w:rPr>
  </w:style>
  <w:style w:type="character" w:customStyle="1" w:styleId="233">
    <w:name w:val="font41"/>
    <w:qFormat/>
    <w:uiPriority w:val="0"/>
    <w:rPr>
      <w:rFonts w:hint="eastAsia" w:ascii="宋体" w:hAnsi="宋体" w:eastAsia="宋体" w:cs="宋体"/>
      <w:color w:val="000000"/>
      <w:sz w:val="20"/>
      <w:szCs w:val="20"/>
      <w:u w:val="none"/>
      <w:vertAlign w:val="subscript"/>
    </w:rPr>
  </w:style>
  <w:style w:type="character" w:customStyle="1" w:styleId="234">
    <w:name w:val="top-det1"/>
    <w:qFormat/>
    <w:uiPriority w:val="0"/>
    <w:rPr>
      <w:rFonts w:ascii="Times New Roman" w:hAnsi="Times New Roman" w:eastAsia="宋体" w:cs="Times New Roman"/>
      <w:b/>
      <w:color w:val="000000"/>
    </w:rPr>
  </w:style>
  <w:style w:type="character" w:customStyle="1" w:styleId="235">
    <w:name w:val="Char Char"/>
    <w:qFormat/>
    <w:uiPriority w:val="0"/>
    <w:rPr>
      <w:rFonts w:ascii="宋体" w:hAnsi="宋体" w:eastAsia="宋体" w:cs="Times New Roman"/>
      <w:kern w:val="2"/>
      <w:sz w:val="24"/>
      <w:lang w:val="en-US" w:eastAsia="zh-CN" w:bidi="ar-SA"/>
    </w:rPr>
  </w:style>
  <w:style w:type="character" w:customStyle="1" w:styleId="236">
    <w:name w:val="Table Text Char"/>
    <w:link w:val="135"/>
    <w:qFormat/>
    <w:uiPriority w:val="0"/>
    <w:rPr>
      <w:rFonts w:ascii="Arial" w:hAnsi="Arial"/>
      <w:kern w:val="2"/>
      <w:sz w:val="18"/>
      <w:lang w:val="en-US" w:eastAsia="zh-CN" w:bidi="ar-SA"/>
    </w:rPr>
  </w:style>
  <w:style w:type="character" w:customStyle="1" w:styleId="237">
    <w:name w:val="批注文字 Char"/>
    <w:link w:val="14"/>
    <w:qFormat/>
    <w:uiPriority w:val="0"/>
    <w:rPr>
      <w:rFonts w:ascii="Times New Roman" w:hAnsi="Times New Roman" w:eastAsia="宋体" w:cs="Times New Roman"/>
      <w:sz w:val="24"/>
    </w:rPr>
  </w:style>
  <w:style w:type="character" w:customStyle="1" w:styleId="238">
    <w:name w:val="日期 Char"/>
    <w:link w:val="35"/>
    <w:qFormat/>
    <w:uiPriority w:val="0"/>
    <w:rPr>
      <w:rFonts w:ascii="Times New Roman" w:hAnsi="Times New Roman" w:eastAsia="宋体" w:cs="Times New Roman"/>
      <w:kern w:val="2"/>
      <w:sz w:val="28"/>
    </w:rPr>
  </w:style>
  <w:style w:type="character" w:customStyle="1" w:styleId="239">
    <w:name w:val="Char Char2"/>
    <w:qFormat/>
    <w:uiPriority w:val="0"/>
    <w:rPr>
      <w:rFonts w:ascii="Times New Roman" w:hAnsi="Times New Roman" w:eastAsia="宋体" w:cs="Times New Roman"/>
      <w:kern w:val="2"/>
      <w:sz w:val="18"/>
      <w:lang w:val="en-US" w:eastAsia="zh-CN"/>
    </w:rPr>
  </w:style>
  <w:style w:type="character" w:customStyle="1" w:styleId="240">
    <w:name w:val="content-white1"/>
    <w:qFormat/>
    <w:uiPriority w:val="0"/>
    <w:rPr>
      <w:rFonts w:ascii="Times New Roman" w:hAnsi="Times New Roman" w:eastAsia="宋体" w:cs="Times New Roman"/>
      <w:color w:val="auto"/>
      <w:sz w:val="18"/>
      <w:u w:val="none"/>
    </w:rPr>
  </w:style>
  <w:style w:type="character" w:customStyle="1" w:styleId="241">
    <w:name w:val="Char Char7"/>
    <w:qFormat/>
    <w:uiPriority w:val="0"/>
    <w:rPr>
      <w:rFonts w:ascii="宋体" w:hAnsi="宋体" w:eastAsia="宋体" w:cs="Times New Roman"/>
      <w:kern w:val="2"/>
      <w:sz w:val="28"/>
    </w:rPr>
  </w:style>
  <w:style w:type="character" w:customStyle="1" w:styleId="242">
    <w:name w:val="Char Char11"/>
    <w:qFormat/>
    <w:uiPriority w:val="0"/>
    <w:rPr>
      <w:rFonts w:ascii="宋体" w:hAnsi="Times New Roman" w:eastAsia="宋体" w:cs="Times New Roman"/>
      <w:kern w:val="2"/>
      <w:sz w:val="28"/>
    </w:rPr>
  </w:style>
  <w:style w:type="character" w:customStyle="1" w:styleId="243">
    <w:name w:val="H2 Char"/>
    <w:qFormat/>
    <w:uiPriority w:val="0"/>
    <w:rPr>
      <w:rFonts w:ascii="Arial" w:hAnsi="Arial" w:eastAsia="宋体" w:cs="Times New Roman"/>
      <w:kern w:val="2"/>
      <w:sz w:val="28"/>
      <w:lang w:val="en-US" w:eastAsia="zh-CN"/>
    </w:rPr>
  </w:style>
  <w:style w:type="character" w:customStyle="1" w:styleId="244">
    <w:name w:val="Table Text Char Char Char Char"/>
    <w:link w:val="139"/>
    <w:qFormat/>
    <w:uiPriority w:val="0"/>
    <w:rPr>
      <w:rFonts w:ascii="Arial" w:hAnsi="Arial"/>
      <w:kern w:val="2"/>
      <w:sz w:val="18"/>
      <w:lang w:val="en-US" w:eastAsia="zh-CN" w:bidi="ar-SA"/>
    </w:rPr>
  </w:style>
  <w:style w:type="character" w:customStyle="1" w:styleId="245">
    <w:name w:val="脚注文本 Char"/>
    <w:link w:val="45"/>
    <w:qFormat/>
    <w:uiPriority w:val="0"/>
    <w:rPr>
      <w:rFonts w:ascii="Times New Roman" w:hAnsi="Times New Roman" w:eastAsia="宋体" w:cs="Times New Roman"/>
      <w:kern w:val="2"/>
      <w:sz w:val="18"/>
    </w:rPr>
  </w:style>
  <w:style w:type="character" w:customStyle="1" w:styleId="246">
    <w:name w:val="font1"/>
    <w:qFormat/>
    <w:uiPriority w:val="0"/>
    <w:rPr>
      <w:rFonts w:ascii="Times New Roman" w:hAnsi="Times New Roman" w:eastAsia="宋体" w:cs="Times New Roman"/>
      <w:color w:val="000000"/>
      <w:sz w:val="18"/>
    </w:rPr>
  </w:style>
  <w:style w:type="character" w:customStyle="1" w:styleId="247">
    <w:name w:val="文字 Char"/>
    <w:link w:val="181"/>
    <w:qFormat/>
    <w:uiPriority w:val="0"/>
    <w:rPr>
      <w:rFonts w:ascii="宋体" w:hAnsi="Times New Roman" w:eastAsia="宋体" w:cs="Times New Roman"/>
      <w:kern w:val="2"/>
      <w:sz w:val="28"/>
    </w:rPr>
  </w:style>
  <w:style w:type="character" w:customStyle="1" w:styleId="248">
    <w:name w:val="页眉 Char"/>
    <w:link w:val="40"/>
    <w:qFormat/>
    <w:uiPriority w:val="0"/>
    <w:rPr>
      <w:rFonts w:ascii="Times New Roman" w:hAnsi="Times New Roman" w:eastAsia="宋体" w:cs="Times New Roman"/>
      <w:kern w:val="2"/>
      <w:sz w:val="18"/>
    </w:rPr>
  </w:style>
  <w:style w:type="character" w:customStyle="1" w:styleId="249">
    <w:name w:val="正文首行缩进 2 Char"/>
    <w:link w:val="39"/>
    <w:qFormat/>
    <w:uiPriority w:val="0"/>
    <w:rPr>
      <w:rFonts w:ascii="Times New Roman" w:hAnsi="Times New Roman" w:eastAsia="宋体" w:cs="Times New Roman"/>
      <w:kern w:val="2"/>
      <w:sz w:val="44"/>
    </w:rPr>
  </w:style>
  <w:style w:type="character" w:customStyle="1" w:styleId="250">
    <w:name w:val="Char Char3"/>
    <w:qFormat/>
    <w:uiPriority w:val="0"/>
    <w:rPr>
      <w:rFonts w:ascii="Times New Roman" w:hAnsi="Times New Roman" w:eastAsia="宋体" w:cs="Times New Roman"/>
      <w:kern w:val="2"/>
      <w:sz w:val="18"/>
      <w:lang w:val="en-US" w:eastAsia="zh-CN"/>
    </w:rPr>
  </w:style>
  <w:style w:type="character" w:customStyle="1" w:styleId="251">
    <w:name w:val="正文 + 三号 Char"/>
    <w:qFormat/>
    <w:uiPriority w:val="0"/>
    <w:rPr>
      <w:rFonts w:ascii="Times New Roman" w:hAnsi="Times New Roman" w:eastAsia="宋体" w:cs="Times New Roman"/>
      <w:kern w:val="2"/>
      <w:sz w:val="21"/>
      <w:lang w:val="en-US" w:eastAsia="zh-CN"/>
    </w:rPr>
  </w:style>
  <w:style w:type="character" w:customStyle="1" w:styleId="252">
    <w:name w:val="Table Heading Char Char"/>
    <w:qFormat/>
    <w:uiPriority w:val="0"/>
    <w:rPr>
      <w:rFonts w:ascii="Arial" w:hAnsi="Arial" w:eastAsia="黑体" w:cs="Times New Roman"/>
      <w:kern w:val="2"/>
      <w:sz w:val="18"/>
      <w:lang w:val="en-US" w:eastAsia="zh-CN"/>
    </w:rPr>
  </w:style>
  <w:style w:type="character" w:customStyle="1" w:styleId="253">
    <w:name w:val="正文缩进 Char"/>
    <w:link w:val="19"/>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CHINA</Company>
  <Pages>35</Pages>
  <Words>13362</Words>
  <Characters>4565</Characters>
  <Lines>38</Lines>
  <Paragraphs>35</Paragraphs>
  <ScaleCrop>false</ScaleCrop>
  <LinksUpToDate>false</LinksUpToDate>
  <CharactersWithSpaces>17892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2021-05-10T07:09:00Z</dcterms:created>
  <dc:creator>LENOVO</dc:creator>
  <cp:lastModifiedBy>Administrator</cp:lastModifiedBy>
  <cp:lastPrinted>2020-10-30T02:52:00Z</cp:lastPrinted>
  <dcterms:modified xsi:type="dcterms:W3CDTF">2025-04-16T02:50:42Z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1143587521_cloud</vt:lpwstr>
  </property>
  <property fmtid="{D5CDD505-2E9C-101B-9397-08002B2CF9AE}" pid="4" name="ICV">
    <vt:lpwstr>E79D51A195E4447C9E01F8BEC41FA7A3</vt:lpwstr>
  </property>
</Properties>
</file>