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600" w:lineRule="exact"/>
        <w:jc w:val="center"/>
        <w:rPr>
          <w:rFonts w:ascii="Times New Roman" w:hAnsi="Times New Roman" w:eastAsia="方正小标宋_GBK"/>
          <w:color w:val="auto"/>
          <w:sz w:val="44"/>
          <w:szCs w:val="44"/>
          <w:highlight w:val="none"/>
        </w:rPr>
      </w:pPr>
      <w:bookmarkStart w:id="0" w:name="_GoBack"/>
      <w:r>
        <w:rPr>
          <w:rFonts w:ascii="Times New Roman" w:hAnsi="Times New Roman" w:eastAsia="方正小标宋_GBK"/>
          <w:color w:val="auto"/>
          <w:sz w:val="44"/>
          <w:szCs w:val="44"/>
          <w:highlight w:val="none"/>
        </w:rPr>
        <w:t>重庆市农</w:t>
      </w:r>
      <w:r>
        <w:rPr>
          <w:rFonts w:hint="eastAsia" w:ascii="Times New Roman" w:hAnsi="Times New Roman" w:eastAsia="方正小标宋_GBK"/>
          <w:color w:val="auto"/>
          <w:sz w:val="44"/>
          <w:szCs w:val="44"/>
          <w:highlight w:val="none"/>
        </w:rPr>
        <w:t>民</w:t>
      </w:r>
      <w:r>
        <w:rPr>
          <w:rFonts w:ascii="Times New Roman" w:hAnsi="Times New Roman" w:eastAsia="方正小标宋_GBK"/>
          <w:color w:val="auto"/>
          <w:sz w:val="44"/>
          <w:szCs w:val="44"/>
          <w:highlight w:val="none"/>
        </w:rPr>
        <w:t>工统计监测调查项目主要内容</w:t>
      </w:r>
    </w:p>
    <w:bookmarkEnd w:id="0"/>
    <w:p>
      <w:pPr>
        <w:spacing w:line="600" w:lineRule="exact"/>
        <w:ind w:firstLine="640" w:firstLineChars="200"/>
        <w:rPr>
          <w:rFonts w:ascii="Times New Roman" w:hAnsi="Times New Roman" w:eastAsia="方正仿宋_GBK"/>
          <w:color w:val="auto"/>
          <w:highlight w:val="none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方正黑体_GBK"/>
          <w:color w:val="auto"/>
          <w:sz w:val="32"/>
          <w:szCs w:val="32"/>
          <w:highlight w:val="none"/>
        </w:rPr>
        <w:t>一、调查目的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通过开展农民工统计监测调查，定期收集农民工有关信息，准确反映农民工数量、结构、流向、就业创业、生活开支、享受公共服务等情况，更好地为制定完善农民工政策措施、加强和改进农民工工作提供科学依据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方正黑体_GBK"/>
          <w:color w:val="auto"/>
          <w:sz w:val="32"/>
          <w:szCs w:val="32"/>
          <w:highlight w:val="none"/>
        </w:rPr>
        <w:t>二、调查内容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主要包括：住户人口与劳动力就业基本情况；外出从业人员及本地务工人员就业创业、生活和社会保障情况；农村外出从业人员返乡情况等。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方正黑体_GBK"/>
          <w:color w:val="auto"/>
          <w:sz w:val="32"/>
          <w:szCs w:val="32"/>
          <w:highlight w:val="none"/>
        </w:rPr>
        <w:t>三、调查对象及范围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调查范围：全市所有城镇、乡村的社区和行政村。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调查对象：城镇社区以家庭居民户为单位，重点监测住户内的外来农民工；乡镇行政村以家庭居民户为单位，重点监测外出的务工创业农民工。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方正黑体_GBK"/>
          <w:color w:val="auto"/>
          <w:sz w:val="32"/>
          <w:szCs w:val="32"/>
          <w:highlight w:val="none"/>
        </w:rPr>
        <w:t>四、调查方法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调查分为整村（社区）统计（以下简称整村统计）和住户监测。一是整村统计以行政村（社区）为单位开展全面统计；二是住户监测采用随机抽样方法，每个行政村选定第二村民小组（或居民小组）门牌号为11号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－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20号（共10户）的住户作为市级监测样本；每个社区选定第二居民小组连续抽选10户居民户作为市级监测样本。同一门牌号有多户居民户的，以第1户作为样本，如抽选的住户常年无人居住，监测样本顺延1户。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方正黑体_GBK"/>
          <w:color w:val="auto"/>
          <w:sz w:val="32"/>
          <w:szCs w:val="32"/>
          <w:highlight w:val="none"/>
        </w:rPr>
        <w:t>五、组织方式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市人力社保局（农民工办）统一制定调查方案、设计调查表，部署调查工作，开展调查业务培训。各区县（自治县）调查工作由本区县人力社保局（农民工办）负责，具体指导实施本区县开展调查任务，对辖区内调查工作进行督导，总结监测调查情况并提出改进建议。各区县（自治县）的乡镇（街道）确定1名调查统计工作指导员，筛选各行政村（社区）调查员，指导本辖区行政村（社区）调查员开展入户调查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方正黑体_GBK"/>
          <w:color w:val="auto"/>
          <w:sz w:val="32"/>
          <w:szCs w:val="32"/>
          <w:highlight w:val="none"/>
        </w:rPr>
        <w:t>六、数据发布</w:t>
      </w:r>
    </w:p>
    <w:p>
      <w:pPr>
        <w:spacing w:line="600" w:lineRule="exact"/>
        <w:ind w:firstLine="640" w:firstLineChars="200"/>
        <w:rPr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22"/>
          <w:highlight w:val="none"/>
        </w:rPr>
        <w:t>由于该调查项目涉及被调查人员基本信息、培训及就业信息、社会保障及公共服务情况、返乡信息情况等，原则上基层不得随意向外提供或发布，由市人力社保局（市农民工办）统一在官方网站上发布。确有数据需要的，需经市人力社保局（市农民工办）同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6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许春晓</cp:lastModifiedBy>
  <dcterms:modified xsi:type="dcterms:W3CDTF">2021-09-06T09:14:41Z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