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tabs>
          <w:tab w:val="left" w:pos="54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8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0"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0"/>
          <w:sz w:val="36"/>
          <w:szCs w:val="36"/>
          <w:lang w:eastAsia="zh-CN"/>
        </w:rPr>
        <w:t>重庆市电力电煤运行监测统计报表</w:t>
      </w:r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0"/>
          <w:sz w:val="36"/>
          <w:szCs w:val="36"/>
        </w:rPr>
        <w:t>制度</w:t>
      </w:r>
      <w:r>
        <w:rPr>
          <w:rFonts w:hint="eastAsia" w:eastAsia="方正小标宋_GBK" w:cs="Times New Roman"/>
          <w:b w:val="0"/>
          <w:bCs w:val="0"/>
          <w:color w:val="000000"/>
          <w:kern w:val="0"/>
          <w:sz w:val="36"/>
          <w:szCs w:val="36"/>
          <w:lang w:val="en-US" w:eastAsia="zh-CN"/>
        </w:rPr>
        <w:t>主要内容</w:t>
      </w:r>
    </w:p>
    <w:bookmarkEnd w:id="0"/>
    <w:p>
      <w:pPr>
        <w:pageBreakBefore w:val="0"/>
        <w:widowControl w:val="0"/>
        <w:tabs>
          <w:tab w:val="left" w:pos="54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8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0"/>
          <w:sz w:val="44"/>
          <w:szCs w:val="44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textAlignment w:val="auto"/>
        <w:rPr>
          <w:rFonts w:hint="default" w:ascii="Times New Roman" w:hAnsi="Times New Roman" w:eastAsia="方正黑体_GBK" w:cs="Times New Roman"/>
          <w:b w:val="0"/>
          <w:bCs w:val="0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Cs w:val="32"/>
        </w:rPr>
        <w:t>一、调查目的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重庆市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电力电煤运行监测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统计报表制度成立目的旨在监测全市各主力电厂进耗存情况，通过收集各单位每日数据，了解全市电力电煤运行情况。该系统收集数据为领导提供决策依据，通过精准调度，确保全市电力电煤运行稳定，保证区域内不发生拉闸限电，保障民生用能需求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textAlignment w:val="auto"/>
        <w:rPr>
          <w:rFonts w:hint="default" w:ascii="Times New Roman" w:hAnsi="Times New Roman" w:eastAsia="方正黑体_GBK" w:cs="Times New Roman"/>
          <w:b w:val="0"/>
          <w:bCs w:val="0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Cs w:val="32"/>
        </w:rPr>
        <w:t>二、调查内容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本制度主要调查内容报括全市主力火力发电企业进煤情况、耗煤情况、存煤情况、发电情况及煤质价格、经济指标情况。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textAlignment w:val="auto"/>
        <w:rPr>
          <w:rFonts w:hint="default" w:ascii="Times New Roman" w:hAnsi="Times New Roman" w:eastAsia="方正黑体_GBK" w:cs="Times New Roman"/>
          <w:b w:val="0"/>
          <w:bCs w:val="0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Cs w:val="32"/>
        </w:rPr>
        <w:t>三、调查对象及范围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8" w:lineRule="exact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本制度涉及的调查对象为全市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10家主力火力发电企业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。重点调查各火力发电企业每日煤炭进耗存情况。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textAlignment w:val="auto"/>
        <w:rPr>
          <w:rFonts w:hint="default" w:ascii="Times New Roman" w:hAnsi="Times New Roman" w:eastAsia="方正黑体_GBK" w:cs="Times New Roman"/>
          <w:b w:val="0"/>
          <w:bCs w:val="0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Cs w:val="32"/>
        </w:rPr>
        <w:t>四、调查方法</w:t>
      </w:r>
    </w:p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33333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本制度的调查方法主要包括全面调查，对全市主力火力发电企业进煤、耗煤、存煤、发电情况及煤质价格、经济指标情况等相关数据进行调查。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textAlignment w:val="auto"/>
        <w:rPr>
          <w:rFonts w:hint="default" w:ascii="Times New Roman" w:hAnsi="Times New Roman" w:eastAsia="方正黑体_GBK" w:cs="Times New Roman"/>
          <w:b w:val="0"/>
          <w:bCs w:val="0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Cs w:val="32"/>
        </w:rPr>
        <w:t>五、组织方式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本制度由重庆市经济和信息化委员会组织实施，由重庆市经济和信息化委员会经济运行局收集整理数据，通过重庆市工业经济运行数据采集平台对各单位进行数据收集。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textAlignment w:val="auto"/>
        <w:rPr>
          <w:rFonts w:hint="default" w:ascii="Times New Roman" w:hAnsi="Times New Roman" w:eastAsia="方正黑体_GBK" w:cs="Times New Roman"/>
          <w:b w:val="0"/>
          <w:bCs w:val="0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Cs w:val="32"/>
        </w:rPr>
        <w:t>六、数据发布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Lines="0" w:afterLines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本制度成立目的旨在监测全市各主力电厂进耗存情况，通过收集各单位每日数据，了解全市电力电煤运行情况。电力电煤作为关乎民生、关乎社会稳定的行业，该系统收集数据主要为领导提供决策依据，部分数据涉及到全市能源保障安全及企业隐私，故不公开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8567E4"/>
    <w:rsid w:val="45E1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640" w:firstLineChars="200"/>
      <w:outlineLvl w:val="0"/>
    </w:pPr>
    <w:rPr>
      <w:rFonts w:ascii="Calibri" w:hAnsi="Calibri" w:eastAsia="方正黑体_GBK" w:cs="Times New Roman"/>
      <w:color w:val="auto"/>
      <w:kern w:val="44"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许春晓(许春晓:)</cp:lastModifiedBy>
  <dcterms:modified xsi:type="dcterms:W3CDTF">2021-07-07T07:16:22Z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